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Dataset search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Metadata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color w:val="bf9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Working plan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color w:val="bf9000"/>
          <w:u w:val="none"/>
        </w:rPr>
      </w:pPr>
      <w:r w:rsidDel="00000000" w:rsidR="00000000" w:rsidRPr="00000000">
        <w:rPr>
          <w:color w:val="bf9000"/>
          <w:rtl w:val="0"/>
        </w:rPr>
        <w:t xml:space="preserve">Gantt schedule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color w:val="bf9000"/>
          <w:u w:val="none"/>
        </w:rPr>
      </w:pPr>
      <w:r w:rsidDel="00000000" w:rsidR="00000000" w:rsidRPr="00000000">
        <w:rPr>
          <w:color w:val="bf9000"/>
          <w:rtl w:val="0"/>
        </w:rPr>
        <w:t xml:space="preserve">Workload division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color w:val="bf9000"/>
          <w:u w:val="none"/>
        </w:rPr>
      </w:pPr>
      <w:r w:rsidDel="00000000" w:rsidR="00000000" w:rsidRPr="00000000">
        <w:rPr>
          <w:color w:val="bf9000"/>
          <w:rtl w:val="0"/>
        </w:rPr>
        <w:t xml:space="preserve">Risk contingency plan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Data Cleaning and descriptive analysis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PCA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ACM and MFA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Association rules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Clustering + Profiling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Classification and regression trees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Discriminant analysis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