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2ABD" w:rsidRDefault="00392ABD" w:rsidP="00392ABD">
      <w:pPr>
        <w:rPr>
          <w:rFonts w:asciiTheme="minorEastAsia" w:hAnsiTheme="minorEastAsia"/>
          <w:lang w:val="en-US"/>
        </w:rPr>
      </w:pPr>
      <w:r w:rsidRPr="00392ABD">
        <w:rPr>
          <w:rFonts w:asciiTheme="minorEastAsia" w:hAnsiTheme="minorEastAsia" w:hint="eastAsia"/>
          <w:b/>
          <w:bCs/>
        </w:rPr>
        <w:t>レポート１：M</w:t>
      </w:r>
      <w:r w:rsidRPr="00392ABD">
        <w:rPr>
          <w:rFonts w:asciiTheme="minorEastAsia" w:hAnsiTheme="minorEastAsia"/>
          <w:b/>
          <w:bCs/>
        </w:rPr>
        <w:t xml:space="preserve">ultichannel </w:t>
      </w:r>
      <w:r w:rsidRPr="00392ABD">
        <w:rPr>
          <w:rFonts w:asciiTheme="minorEastAsia" w:hAnsiTheme="minorEastAsia" w:hint="eastAsia"/>
          <w:b/>
          <w:bCs/>
        </w:rPr>
        <w:t>A</w:t>
      </w:r>
      <w:r w:rsidRPr="00392ABD">
        <w:rPr>
          <w:rFonts w:asciiTheme="minorEastAsia" w:hAnsiTheme="minorEastAsia"/>
          <w:b/>
          <w:bCs/>
        </w:rPr>
        <w:t>udio</w:t>
      </w:r>
      <w:r>
        <w:rPr>
          <w:rFonts w:asciiTheme="minorEastAsia" w:hAnsiTheme="minorEastAsia" w:hint="eastAsia"/>
        </w:rPr>
        <w:t xml:space="preserve">　（</w:t>
      </w:r>
      <w:r>
        <w:rPr>
          <w:rFonts w:asciiTheme="minorEastAsia" w:hAnsiTheme="minorEastAsia"/>
          <w:lang w:val="en-US"/>
        </w:rPr>
        <w:t>1</w:t>
      </w:r>
      <w:r>
        <w:rPr>
          <w:rFonts w:asciiTheme="minorEastAsia" w:hAnsiTheme="minorEastAsia" w:hint="eastAsia"/>
          <w:lang w:val="en-US"/>
        </w:rPr>
        <w:t>月６日）</w:t>
      </w:r>
    </w:p>
    <w:p w:rsidR="007060B9" w:rsidRPr="00392ABD" w:rsidRDefault="007060B9" w:rsidP="00392ABD">
      <w:pPr>
        <w:rPr>
          <w:rFonts w:asciiTheme="minorEastAsia" w:hAnsiTheme="minorEastAsia" w:hint="eastAsia"/>
          <w:lang w:val="en-US"/>
        </w:rPr>
      </w:pPr>
    </w:p>
    <w:p w:rsidR="00392ABD" w:rsidRDefault="00392ABD" w:rsidP="00392ABD">
      <w:pPr>
        <w:jc w:val="right"/>
        <w:rPr>
          <w:rFonts w:asciiTheme="minorEastAsia" w:hAnsiTheme="minorEastAsia" w:cs="Times New Roman"/>
          <w:b/>
          <w:bCs/>
        </w:rPr>
      </w:pPr>
      <w:r w:rsidRPr="00392ABD">
        <w:rPr>
          <w:rFonts w:asciiTheme="minorEastAsia" w:hAnsiTheme="minorEastAsia" w:hint="eastAsia"/>
          <w:b/>
          <w:bCs/>
        </w:rPr>
        <w:t>学籍番号</w:t>
      </w:r>
      <w:r w:rsidRPr="00392ABD">
        <w:rPr>
          <w:rFonts w:asciiTheme="minorEastAsia" w:hAnsiTheme="minorEastAsia"/>
          <w:b/>
          <w:bCs/>
        </w:rPr>
        <w:t>: v25y0009</w:t>
      </w:r>
      <w:r w:rsidRPr="00392ABD">
        <w:rPr>
          <w:rFonts w:asciiTheme="minorEastAsia" w:hAnsiTheme="minorEastAsia"/>
          <w:b/>
          <w:bCs/>
          <w:lang w:val="mn-MN"/>
        </w:rPr>
        <w:t xml:space="preserve"> </w:t>
      </w:r>
      <w:r w:rsidRPr="00392ABD">
        <w:rPr>
          <w:rFonts w:asciiTheme="minorEastAsia" w:hAnsiTheme="minorEastAsia" w:hint="eastAsia"/>
          <w:b/>
          <w:bCs/>
        </w:rPr>
        <w:t>氏名</w:t>
      </w:r>
      <w:r w:rsidRPr="00392ABD">
        <w:rPr>
          <w:rFonts w:asciiTheme="minorEastAsia" w:hAnsiTheme="minorEastAsia"/>
          <w:b/>
          <w:bCs/>
        </w:rPr>
        <w:t xml:space="preserve">: </w:t>
      </w:r>
      <w:r w:rsidRPr="00392ABD">
        <w:rPr>
          <w:rFonts w:asciiTheme="minorEastAsia" w:hAnsiTheme="minorEastAsia" w:cs="Times New Roman"/>
          <w:b/>
          <w:bCs/>
        </w:rPr>
        <w:t>Davaakhuu Undarmaa</w:t>
      </w:r>
    </w:p>
    <w:p w:rsidR="007060B9" w:rsidRPr="00392ABD" w:rsidRDefault="007060B9" w:rsidP="00392ABD">
      <w:pPr>
        <w:jc w:val="right"/>
        <w:rPr>
          <w:rFonts w:asciiTheme="minorEastAsia" w:hAnsiTheme="minorEastAsia"/>
          <w:b/>
          <w:bCs/>
        </w:rPr>
      </w:pPr>
    </w:p>
    <w:p w:rsidR="00392ABD" w:rsidRPr="00392ABD" w:rsidRDefault="00392ABD" w:rsidP="00392ABD">
      <w:pPr>
        <w:rPr>
          <w:rFonts w:asciiTheme="minorEastAsia" w:hAnsiTheme="minorEastAsia"/>
        </w:rPr>
      </w:pPr>
      <w:r>
        <w:rPr>
          <w:rFonts w:asciiTheme="minorEastAsia" w:hAnsiTheme="minorEastAsia" w:hint="eastAsia"/>
        </w:rPr>
        <w:t>論文：</w:t>
      </w:r>
      <w:r w:rsidRPr="00392ABD">
        <w:rPr>
          <w:rFonts w:asciiTheme="minorEastAsia" w:hAnsiTheme="minorEastAsia"/>
        </w:rPr>
        <w:t>“Conversion of Multichannel Sound Signal Maintaining Physical Properties of Sound in Reproduced Sound Field” (IEEE Transactions on Audio, Speech, and Language Processing, Vol. 19, No. 6, 2011)</w:t>
      </w:r>
    </w:p>
    <w:p w:rsidR="00392ABD" w:rsidRPr="00392ABD" w:rsidRDefault="00392ABD" w:rsidP="00392ABD">
      <w:pPr>
        <w:rPr>
          <w:rFonts w:asciiTheme="minorEastAsia" w:hAnsiTheme="minorEastAsia" w:cs="Times New Roman"/>
          <w:color w:val="C00000"/>
          <w:lang w:val="mn-MN"/>
        </w:rPr>
      </w:pPr>
      <w:r w:rsidRPr="00392ABD">
        <w:rPr>
          <w:rFonts w:asciiTheme="minorEastAsia" w:hAnsiTheme="minorEastAsia" w:cs="Times New Roman" w:hint="eastAsia"/>
          <w:color w:val="C00000"/>
          <w:lang w:val="mn-MN"/>
        </w:rPr>
        <w:t>1.研究の目的</w:t>
      </w:r>
    </w:p>
    <w:p w:rsidR="00B858A2" w:rsidRDefault="00C11CA1" w:rsidP="00C11CA1">
      <w:pPr>
        <w:rPr>
          <w:rFonts w:asciiTheme="minorEastAsia" w:hAnsiTheme="minorEastAsia" w:cs="Times New Roman"/>
          <w:lang w:val="mn-MN"/>
        </w:rPr>
      </w:pPr>
      <w:r w:rsidRPr="00C11CA1">
        <w:rPr>
          <w:rFonts w:asciiTheme="minorEastAsia" w:hAnsiTheme="minorEastAsia" w:cs="Times New Roman" w:hint="eastAsia"/>
          <w:lang w:val="mn-MN"/>
        </w:rPr>
        <w:t>本論文では、自動的なダウンミキシングおよびアップミキシングに適用可能な新しい信号変換手法を提案する。本手法の基本概念は、元の音場におけるスピーカ入力信号を再生音場におけるスピーカ信号へ変換する変換行列を求め、受聴点において音の物理的特性が一致するようにすることである。本問題は解析的に解くことが可能であり、その解は周波数に依存しないため、音色を変化させることなく信号変換を実現できる。</w:t>
      </w:r>
    </w:p>
    <w:p w:rsidR="00392ABD" w:rsidRPr="00C11CA1" w:rsidRDefault="00392ABD" w:rsidP="00C11CA1">
      <w:pPr>
        <w:rPr>
          <w:rFonts w:asciiTheme="minorEastAsia" w:hAnsiTheme="minorEastAsia" w:cs="Times New Roman"/>
          <w:lang w:val="mn-MN"/>
        </w:rPr>
      </w:pPr>
      <w:r w:rsidRPr="00392ABD">
        <w:rPr>
          <w:rFonts w:asciiTheme="minorEastAsia" w:hAnsiTheme="minorEastAsia" w:cs="Times New Roman" w:hint="eastAsia"/>
          <w:color w:val="C00000"/>
          <w:lang w:val="mn-MN"/>
        </w:rPr>
        <w:t>2. 研究の基本的手法</w:t>
      </w:r>
    </w:p>
    <w:p w:rsidR="00392ABD" w:rsidRPr="00392ABD" w:rsidRDefault="00392ABD" w:rsidP="00392ABD">
      <w:pPr>
        <w:rPr>
          <w:rFonts w:asciiTheme="minorEastAsia" w:hAnsiTheme="minorEastAsia" w:cs="Times New Roman"/>
          <w:lang w:val="mn-MN"/>
        </w:rPr>
      </w:pPr>
      <w:r w:rsidRPr="00392ABD">
        <w:rPr>
          <w:rFonts w:asciiTheme="minorEastAsia" w:hAnsiTheme="minorEastAsia" w:cs="Times New Roman" w:hint="eastAsia"/>
          <w:lang w:val="mn-MN"/>
        </w:rPr>
        <w:t>本研究では、マルチチャネル音響信号を単なる信号処理の対象としてではなく、音場を構成する物理量（音圧および粒子速度）として捉えるというアプローチを採用している。まず、元のマルチチャネル再生音場における物理的特性を解析し、それらがリスニングポイントで一致するように、新たなスピーカ配置に対応した信号変換を行う。</w:t>
      </w:r>
    </w:p>
    <w:p w:rsidR="00C11CA1" w:rsidRDefault="00392ABD" w:rsidP="00392ABD">
      <w:pPr>
        <w:rPr>
          <w:rFonts w:asciiTheme="minorEastAsia" w:hAnsiTheme="minorEastAsia" w:cs="Times New Roman"/>
          <w:lang w:val="mn-MN"/>
        </w:rPr>
      </w:pPr>
      <w:r w:rsidRPr="00392ABD">
        <w:rPr>
          <w:rFonts w:asciiTheme="minorEastAsia" w:hAnsiTheme="minorEastAsia" w:cs="Times New Roman" w:hint="eastAsia"/>
          <w:lang w:val="mn-MN"/>
        </w:rPr>
        <w:t>この方法により、異なる再生環境間でも元の音場の物理的特性を保持した音響再生が可能となる。</w:t>
      </w:r>
    </w:p>
    <w:p w:rsidR="00392ABD" w:rsidRDefault="00C11CA1" w:rsidP="00392ABD">
      <w:pPr>
        <w:rPr>
          <w:rFonts w:asciiTheme="minorEastAsia" w:hAnsiTheme="minorEastAsia" w:cs="Times New Roman"/>
          <w:lang w:val="mn-MN"/>
        </w:rPr>
      </w:pPr>
      <w:r w:rsidRPr="00C11CA1">
        <w:rPr>
          <w:rFonts w:asciiTheme="minorEastAsia" w:hAnsiTheme="minorEastAsia" w:cs="Times New Roman" w:hint="eastAsia"/>
          <w:lang w:val="mn-MN"/>
        </w:rPr>
        <w:t>本節では、元の音場と再生音場において受聴点での音の物理的特性が一致するように、スピーカ信号を変換行列によって変換する音場変換モデルを定式化している。</w:t>
      </w:r>
    </w:p>
    <w:p w:rsidR="00C11CA1" w:rsidRDefault="00C11CA1" w:rsidP="00392ABD">
      <w:pPr>
        <w:rPr>
          <w:rFonts w:asciiTheme="minorEastAsia" w:hAnsiTheme="minorEastAsia" w:cs="Times New Roman"/>
          <w:lang w:val="mn-MN"/>
        </w:rPr>
      </w:pPr>
    </w:p>
    <w:p w:rsidR="00C11CA1" w:rsidRDefault="00C11CA1" w:rsidP="00392ABD">
      <w:pPr>
        <w:rPr>
          <w:rFonts w:asciiTheme="minorEastAsia" w:hAnsiTheme="minorEastAsia" w:cs="Times New Roman"/>
          <w:lang w:val="mn-MN"/>
        </w:rPr>
      </w:pPr>
    </w:p>
    <w:p w:rsidR="00C11CA1" w:rsidRPr="00C11CA1" w:rsidRDefault="007060B9" w:rsidP="00C11CA1">
      <w:pPr>
        <w:rPr>
          <w:rFonts w:asciiTheme="minorEastAsia" w:hAnsiTheme="minorEastAsia" w:cs="Times New Roman" w:hint="eastAsia"/>
          <w:lang w:val="mn-MN"/>
        </w:rPr>
      </w:pPr>
      <w:r w:rsidRPr="00C11CA1">
        <w:rPr>
          <w:rFonts w:asciiTheme="minorEastAsia" w:hAnsiTheme="minorEastAsia" w:cs="Times New Roman"/>
          <w:lang w:val="mn-MN"/>
        </w:rPr>
        <w:drawing>
          <wp:anchor distT="0" distB="0" distL="114300" distR="114300" simplePos="0" relativeHeight="251658240" behindDoc="0" locked="0" layoutInCell="1" allowOverlap="1" wp14:anchorId="504F4DE6">
            <wp:simplePos x="0" y="0"/>
            <wp:positionH relativeFrom="margin">
              <wp:posOffset>0</wp:posOffset>
            </wp:positionH>
            <wp:positionV relativeFrom="margin">
              <wp:posOffset>5266055</wp:posOffset>
            </wp:positionV>
            <wp:extent cx="3378200" cy="1498600"/>
            <wp:effectExtent l="0" t="0" r="0" b="0"/>
            <wp:wrapSquare wrapText="bothSides"/>
            <wp:docPr id="5214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65919" name=""/>
                    <pic:cNvPicPr/>
                  </pic:nvPicPr>
                  <pic:blipFill>
                    <a:blip r:embed="rId5">
                      <a:extLst>
                        <a:ext uri="{28A0092B-C50C-407E-A947-70E740481C1C}">
                          <a14:useLocalDpi xmlns:a14="http://schemas.microsoft.com/office/drawing/2010/main" val="0"/>
                        </a:ext>
                      </a:extLst>
                    </a:blip>
                    <a:stretch>
                      <a:fillRect/>
                    </a:stretch>
                  </pic:blipFill>
                  <pic:spPr>
                    <a:xfrm>
                      <a:off x="0" y="0"/>
                      <a:ext cx="3378200" cy="1498600"/>
                    </a:xfrm>
                    <a:prstGeom prst="rect">
                      <a:avLst/>
                    </a:prstGeom>
                  </pic:spPr>
                </pic:pic>
              </a:graphicData>
            </a:graphic>
            <wp14:sizeRelV relativeFrom="margin">
              <wp14:pctHeight>0</wp14:pctHeight>
            </wp14:sizeRelV>
          </wp:anchor>
        </w:drawing>
      </w:r>
      <w:r w:rsidR="00C11CA1">
        <w:rPr>
          <w:rFonts w:asciiTheme="minorEastAsia" w:hAnsiTheme="minorEastAsia" w:cs="Times New Roman" w:hint="eastAsia"/>
          <w:lang w:val="mn-MN"/>
        </w:rPr>
        <w:t xml:space="preserve"> </w:t>
      </w:r>
      <w:r w:rsidR="00C11CA1">
        <w:rPr>
          <w:rFonts w:asciiTheme="minorEastAsia" w:hAnsiTheme="minorEastAsia" w:cs="Times New Roman"/>
          <w:lang w:val="mn-MN"/>
        </w:rPr>
        <w:t xml:space="preserve">   </w:t>
      </w:r>
      <w:r w:rsidR="00C11CA1" w:rsidRPr="00C11CA1">
        <w:rPr>
          <w:rFonts w:asciiTheme="minorEastAsia" w:hAnsiTheme="minorEastAsia" w:cs="Times New Roman" w:hint="eastAsia"/>
          <w:lang w:val="mn-MN"/>
        </w:rPr>
        <w:t>信号の変換モデル</w:t>
      </w:r>
    </w:p>
    <w:p w:rsidR="00C11CA1" w:rsidRPr="007060B9" w:rsidRDefault="00C11CA1" w:rsidP="00C11CA1">
      <w:pPr>
        <w:rPr>
          <w:rFonts w:asciiTheme="minorEastAsia" w:hAnsiTheme="minorEastAsia" w:cs="Times New Roman" w:hint="eastAsia"/>
          <w:lang w:val="en-US"/>
        </w:rPr>
      </w:pPr>
      <w:r w:rsidRPr="00C11CA1">
        <w:rPr>
          <w:rFonts w:asciiTheme="minorEastAsia" w:hAnsiTheme="minorEastAsia" w:cs="Times New Roman" w:hint="eastAsia"/>
          <w:lang w:val="mn-MN"/>
        </w:rPr>
        <w:t>提案手法では，元の音場におけるスピーカ信号</w:t>
      </w:r>
      <w:r>
        <w:rPr>
          <w:rFonts w:asciiTheme="minorEastAsia" w:hAnsiTheme="minorEastAsia" w:cs="Times New Roman" w:hint="eastAsia"/>
          <w:lang w:val="mn-MN"/>
        </w:rPr>
        <w:t xml:space="preserve"> </w:t>
      </w:r>
      <w:r w:rsidRPr="00C11CA1">
        <w:rPr>
          <w:rFonts w:asciiTheme="minorEastAsia" w:hAnsiTheme="minorEastAsia" w:cs="Times New Roman"/>
          <w:b/>
          <w:bCs/>
          <w:lang w:val="en-US"/>
        </w:rPr>
        <w:t>s(t)</w:t>
      </w:r>
      <w:r w:rsidRPr="00C11CA1">
        <w:rPr>
          <w:rFonts w:hint="eastAsia"/>
        </w:rPr>
        <w:t xml:space="preserve"> </w:t>
      </w:r>
      <w:r w:rsidRPr="00C11CA1">
        <w:rPr>
          <w:rFonts w:asciiTheme="minorEastAsia" w:hAnsiTheme="minorEastAsia" w:cs="Times New Roman" w:hint="eastAsia"/>
          <w:lang w:val="en-US"/>
        </w:rPr>
        <w:t>を</w:t>
      </w:r>
      <w:r w:rsidRPr="00C11CA1">
        <w:rPr>
          <w:rFonts w:asciiTheme="minorEastAsia" w:hAnsiTheme="minorEastAsia" w:cs="Times New Roman" w:hint="eastAsia"/>
          <w:b/>
          <w:bCs/>
          <w:lang w:val="en-US"/>
        </w:rPr>
        <w:t>，</w:t>
      </w:r>
      <w:r w:rsidRPr="00C11CA1">
        <w:rPr>
          <w:rFonts w:asciiTheme="minorEastAsia" w:hAnsiTheme="minorEastAsia" w:cs="Times New Roman" w:hint="eastAsia"/>
          <w:lang w:val="en-US"/>
        </w:rPr>
        <w:t>変換後の音場におけるスピーカ信号</w:t>
      </w:r>
      <w:r>
        <w:rPr>
          <w:rFonts w:asciiTheme="minorEastAsia" w:hAnsiTheme="minorEastAsia" w:cs="Times New Roman" w:hint="eastAsia"/>
          <w:lang w:val="en-US"/>
        </w:rPr>
        <w:t xml:space="preserve"> </w:t>
      </w:r>
      <w:r w:rsidRPr="00C11CA1">
        <w:rPr>
          <w:rFonts w:asciiTheme="minorEastAsia" w:hAnsiTheme="minorEastAsia" w:cs="Times New Roman"/>
          <w:b/>
          <w:bCs/>
          <w:lang w:val="en-US"/>
        </w:rPr>
        <w:t>q(t)</w:t>
      </w:r>
      <w:r>
        <w:rPr>
          <w:rFonts w:asciiTheme="minorEastAsia" w:hAnsiTheme="minorEastAsia" w:cs="Times New Roman"/>
          <w:b/>
          <w:bCs/>
          <w:lang w:val="en-US"/>
        </w:rPr>
        <w:t xml:space="preserve"> </w:t>
      </w:r>
      <w:r w:rsidR="007060B9" w:rsidRPr="007060B9">
        <w:rPr>
          <w:rFonts w:asciiTheme="minorEastAsia" w:hAnsiTheme="minorEastAsia" w:cs="Times New Roman" w:hint="eastAsia"/>
          <w:lang w:val="en-US"/>
        </w:rPr>
        <w:t>へ，変換行列 W を用いて次のように変換する。</w:t>
      </w:r>
    </w:p>
    <w:p w:rsidR="00C11CA1" w:rsidRPr="007060B9" w:rsidRDefault="007060B9" w:rsidP="007060B9">
      <w:pPr>
        <w:jc w:val="center"/>
        <w:rPr>
          <w:rFonts w:asciiTheme="minorEastAsia" w:hAnsiTheme="minorEastAsia" w:cs="Times New Roman"/>
          <w:b/>
          <w:bCs/>
          <w:lang w:val="en-US"/>
        </w:rPr>
      </w:pPr>
      <w:r w:rsidRPr="007060B9">
        <w:rPr>
          <w:rFonts w:asciiTheme="minorEastAsia" w:hAnsiTheme="minorEastAsia" w:cs="Times New Roman"/>
          <w:b/>
          <w:bCs/>
          <w:lang w:val="en-US"/>
        </w:rPr>
        <w:t>q(t) = Ws(t)</w:t>
      </w:r>
    </w:p>
    <w:p w:rsidR="00C11CA1" w:rsidRDefault="00C11CA1" w:rsidP="00392ABD">
      <w:pPr>
        <w:rPr>
          <w:rFonts w:asciiTheme="minorEastAsia" w:hAnsiTheme="minorEastAsia" w:cs="Times New Roman" w:hint="eastAsia"/>
          <w:lang w:val="mn-MN"/>
        </w:rPr>
      </w:pPr>
      <w:r>
        <w:rPr>
          <w:rFonts w:asciiTheme="minorEastAsia" w:hAnsiTheme="minorEastAsia" w:cs="Times New Roman"/>
          <w:lang w:val="mn-MN"/>
        </w:rPr>
        <w:t xml:space="preserve">      </w:t>
      </w:r>
    </w:p>
    <w:p w:rsidR="002A0BF8" w:rsidRDefault="002A0BF8" w:rsidP="00392ABD">
      <w:pPr>
        <w:rPr>
          <w:rFonts w:asciiTheme="minorEastAsia" w:hAnsiTheme="minorEastAsia" w:cs="Times New Roman"/>
          <w:lang w:val="mn-MN"/>
        </w:rPr>
      </w:pPr>
      <w:r w:rsidRPr="002A0BF8">
        <w:rPr>
          <w:rFonts w:asciiTheme="minorEastAsia" w:hAnsiTheme="minorEastAsia" w:cs="Times New Roman"/>
          <w:noProof/>
          <w:lang w:val="mn-MN"/>
        </w:rPr>
        <w:lastRenderedPageBreak/>
        <w:drawing>
          <wp:inline distT="0" distB="0" distL="0" distR="0" wp14:anchorId="67A03A00" wp14:editId="415C50B9">
            <wp:extent cx="5943600" cy="2529205"/>
            <wp:effectExtent l="0" t="0" r="0" b="0"/>
            <wp:docPr id="1702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40" name=""/>
                    <pic:cNvPicPr/>
                  </pic:nvPicPr>
                  <pic:blipFill>
                    <a:blip r:embed="rId6"/>
                    <a:stretch>
                      <a:fillRect/>
                    </a:stretch>
                  </pic:blipFill>
                  <pic:spPr>
                    <a:xfrm>
                      <a:off x="0" y="0"/>
                      <a:ext cx="5943600" cy="2529205"/>
                    </a:xfrm>
                    <a:prstGeom prst="rect">
                      <a:avLst/>
                    </a:prstGeom>
                  </pic:spPr>
                </pic:pic>
              </a:graphicData>
            </a:graphic>
          </wp:inline>
        </w:drawing>
      </w:r>
    </w:p>
    <w:p w:rsidR="002A0BF8" w:rsidRPr="00392ABD" w:rsidRDefault="002A0BF8" w:rsidP="002A0BF8">
      <w:pPr>
        <w:rPr>
          <w:rFonts w:asciiTheme="minorEastAsia" w:hAnsiTheme="minorEastAsia" w:cs="Times New Roman"/>
          <w:lang w:val="mn-MN"/>
        </w:rPr>
      </w:pPr>
      <w:r w:rsidRPr="002A0BF8">
        <w:rPr>
          <w:rFonts w:asciiTheme="minorEastAsia" w:hAnsiTheme="minorEastAsia" w:cs="Times New Roman" w:hint="eastAsia"/>
          <w:lang w:val="mn-MN"/>
        </w:rPr>
        <w:t>図1は，本研究で提案するマルチチャネル音響信号変換手法のブロック図を示している。まず，元の音響システムにおける n チャネル音声信号 s(t) をフーリエ変換し，周波数領域の信号 s(ω) を得る。次に，原音場における音の伝搬特性を表す伝達関数(Hd)が定義される。用いて，受音点における音場の物理的特性を表現する。一方で，再生音場においては，異なるスピーカ配置および m チャネル を持つ再生システムの伝達関数(Hd)が定義される。</w:t>
      </w:r>
    </w:p>
    <w:p w:rsidR="00CF4092" w:rsidRPr="00CF4092" w:rsidRDefault="00040D72" w:rsidP="00CF4092">
      <w:pPr>
        <w:rPr>
          <w:rFonts w:asciiTheme="minorEastAsia" w:hAnsiTheme="minorEastAsia" w:cs="Times New Roman" w:hint="eastAsia"/>
          <w:color w:val="C00000"/>
          <w:lang w:val="mn-MN"/>
        </w:rPr>
      </w:pPr>
      <w:r>
        <w:rPr>
          <w:rFonts w:asciiTheme="minorEastAsia" w:hAnsiTheme="minorEastAsia" w:cs="Times New Roman"/>
          <w:color w:val="C00000"/>
          <w:lang w:val="mn-MN"/>
        </w:rPr>
        <w:t>3.</w:t>
      </w:r>
      <w:r w:rsidR="00CF4092" w:rsidRPr="00CF4092">
        <w:rPr>
          <w:rFonts w:asciiTheme="minorEastAsia" w:hAnsiTheme="minorEastAsia" w:cs="Times New Roman" w:hint="eastAsia"/>
          <w:color w:val="C00000"/>
          <w:lang w:val="mn-MN"/>
        </w:rPr>
        <w:t>主観評価（Subjective Evaluation）</w:t>
      </w:r>
    </w:p>
    <w:p w:rsidR="00CF4092" w:rsidRPr="00CF4092" w:rsidRDefault="00CF4092" w:rsidP="00CF4092">
      <w:pPr>
        <w:rPr>
          <w:rFonts w:asciiTheme="minorEastAsia" w:hAnsiTheme="minorEastAsia" w:cs="Times New Roman" w:hint="eastAsia"/>
          <w:color w:val="000000" w:themeColor="text1"/>
          <w:lang w:val="mn-MN"/>
        </w:rPr>
      </w:pPr>
      <w:r w:rsidRPr="00CF4092">
        <w:rPr>
          <w:rFonts w:asciiTheme="minorEastAsia" w:hAnsiTheme="minorEastAsia" w:cs="Times New Roman" w:hint="eastAsia"/>
          <w:color w:val="000000" w:themeColor="text1"/>
          <w:lang w:val="mn-MN"/>
        </w:rPr>
        <w:t>提案手法の性能を評価するため、2 種類の主観評価実験を実施した。</w:t>
      </w:r>
    </w:p>
    <w:p w:rsidR="00CF4092" w:rsidRPr="00CF4092" w:rsidRDefault="00CF4092" w:rsidP="00CF4092">
      <w:pPr>
        <w:rPr>
          <w:rFonts w:asciiTheme="minorEastAsia" w:hAnsiTheme="minorEastAsia" w:cs="Times New Roman" w:hint="eastAsia"/>
          <w:color w:val="000000" w:themeColor="text1"/>
          <w:lang w:val="mn-MN"/>
        </w:rPr>
      </w:pPr>
      <w:r w:rsidRPr="00CF4092">
        <w:rPr>
          <w:rFonts w:asciiTheme="minorEastAsia" w:hAnsiTheme="minorEastAsia" w:cs="Times New Roman" w:hint="eastAsia"/>
          <w:color w:val="000000" w:themeColor="text1"/>
          <w:lang w:val="mn-MN"/>
        </w:rPr>
        <w:t>第1実験では、22.2 チャンネル音声から低域効果用の 2 チャンネル（LFE）を除いた信号を 10 チャンネル音声へ変換し、変換後の音と元の音を主観的に比較評価した。</w:t>
      </w:r>
    </w:p>
    <w:p w:rsidR="00CF4092" w:rsidRDefault="00CF4092" w:rsidP="00CF4092">
      <w:pPr>
        <w:rPr>
          <w:rFonts w:asciiTheme="minorEastAsia" w:hAnsiTheme="minorEastAsia" w:cs="Times New Roman"/>
          <w:color w:val="000000" w:themeColor="text1"/>
          <w:lang w:val="mn-MN"/>
        </w:rPr>
      </w:pPr>
      <w:r w:rsidRPr="00CF4092">
        <w:rPr>
          <w:rFonts w:asciiTheme="minorEastAsia" w:hAnsiTheme="minorEastAsia" w:cs="Times New Roman" w:hint="eastAsia"/>
          <w:color w:val="000000" w:themeColor="text1"/>
          <w:lang w:val="mn-MN"/>
        </w:rPr>
        <w:t>第2実験では、22 チャンネル音声を 8 チャンネルおよび 6 チャンネル音声へそれぞれ変換し、元の音場との比較評価を行った。実験に用いた 22.2 マルチチャンネルスピーカ配置を Fig.3 に示す。すべての実験は、防音室内において実施され、500 Hz における残響時間は 0.18 秒であった。また、受聴点から各スピーカまでの距離は 2 m に統一した。評価用音刺激として、2005 年に愛知県で開催された愛知万博および、ラスベガスで開催された NAB 2006・2007 において公開された 22.2 マルチチャンネル音声プログラムから 8 種類を選定した。各音刺激の長さは 10～12 秒であり、音楽、スポーツ音、鳥のさえずり、そよ風の音など、さまざまな種類の音を含んでいる。</w:t>
      </w:r>
    </w:p>
    <w:p w:rsidR="00040D72" w:rsidRPr="00040D72" w:rsidRDefault="00040D72" w:rsidP="00040D72">
      <w:pPr>
        <w:rPr>
          <w:rFonts w:asciiTheme="minorEastAsia" w:hAnsiTheme="minorEastAsia" w:cs="Times New Roman" w:hint="eastAsia"/>
          <w:color w:val="C00000"/>
        </w:rPr>
      </w:pPr>
      <w:r>
        <w:rPr>
          <w:rFonts w:asciiTheme="minorEastAsia" w:hAnsiTheme="minorEastAsia" w:cs="Times New Roman"/>
          <w:color w:val="C00000"/>
          <w:lang w:val="mn-MN"/>
        </w:rPr>
        <w:t>4</w:t>
      </w:r>
      <w:r w:rsidRPr="00040D72">
        <w:rPr>
          <w:rFonts w:asciiTheme="minorEastAsia" w:hAnsiTheme="minorEastAsia" w:cs="Times New Roman" w:hint="eastAsia"/>
          <w:color w:val="C00000"/>
        </w:rPr>
        <w:t>主観評価方法</w:t>
      </w:r>
    </w:p>
    <w:p w:rsidR="00CF4092" w:rsidRPr="00CF4092" w:rsidRDefault="00040D72" w:rsidP="00040D72">
      <w:pPr>
        <w:rPr>
          <w:rFonts w:asciiTheme="minorEastAsia" w:hAnsiTheme="minorEastAsia" w:cs="Times New Roman" w:hint="eastAsia"/>
          <w:color w:val="000000" w:themeColor="text1"/>
        </w:rPr>
      </w:pPr>
      <w:r w:rsidRPr="00040D72">
        <w:rPr>
          <w:rFonts w:asciiTheme="minorEastAsia" w:hAnsiTheme="minorEastAsia" w:cs="Times New Roman" w:hint="eastAsia"/>
          <w:color w:val="000000" w:themeColor="text1"/>
        </w:rPr>
        <w:t>提案手法の有効性を評価するため，本研究では「隠れ基準付き三刺激二重盲検法」を用いた。刺激 R を基準音，刺激 A および B を評価対象音とし，被験者は基準音と比較して A と B の劣化を5段階尺度で評価した。A または B のいずれか一方は基準音と同一の隠れ基準であり，他方を評価対象音とした。基準音には元の 22 チャンネル音声を，評価対象音には変換後の音声を用いた。評価は音像定位および音の包囲感の2項目について行い，音色は原理的に保持可能であるため評価対象から除外した。評価後，評価対象音と隠れ基準との差分評価値を算出した</w:t>
      </w:r>
    </w:p>
    <w:p w:rsidR="00392ABD" w:rsidRDefault="00392ABD" w:rsidP="00CF4092">
      <w:pPr>
        <w:rPr>
          <w:rFonts w:asciiTheme="minorEastAsia" w:hAnsiTheme="minorEastAsia"/>
          <w:color w:val="C00000"/>
        </w:rPr>
      </w:pPr>
      <w:r w:rsidRPr="00392ABD">
        <w:rPr>
          <w:rFonts w:asciiTheme="minorEastAsia" w:hAnsiTheme="minorEastAsia" w:hint="eastAsia"/>
          <w:color w:val="C00000"/>
        </w:rPr>
        <w:lastRenderedPageBreak/>
        <w:t>まとめ</w:t>
      </w:r>
    </w:p>
    <w:p w:rsidR="00040D72" w:rsidRPr="00392ABD" w:rsidRDefault="00040D72" w:rsidP="00CF4092">
      <w:pPr>
        <w:rPr>
          <w:rFonts w:asciiTheme="minorEastAsia" w:hAnsiTheme="minorEastAsia" w:hint="eastAsia"/>
          <w:color w:val="C00000"/>
        </w:rPr>
      </w:pPr>
    </w:p>
    <w:p w:rsidR="00392ABD" w:rsidRPr="00392ABD" w:rsidRDefault="00040D72" w:rsidP="00040D72">
      <w:pPr>
        <w:rPr>
          <w:rFonts w:asciiTheme="minorEastAsia" w:hAnsiTheme="minorEastAsia"/>
        </w:rPr>
      </w:pPr>
      <w:r w:rsidRPr="00040D72">
        <w:rPr>
          <w:rFonts w:asciiTheme="minorEastAsia" w:hAnsiTheme="minorEastAsia" w:hint="eastAsia"/>
        </w:rPr>
        <w:t>本論文では，再生音場における受聴点での音圧および音の到来方向を保持しながらマルチチャンネル音声を変換する新しい手法を提案した。その結果，音圧が保存される場合には従来のダウンミキシング手法も一定の効果を示すことが確認されたが，提案手法は音の方向を再現可能であるため，従来法よりも優れた性能を示した。さらに主観評価の結果，提案手法によって 8 チャンネルに変換された音声は，受聴点において元の 22 チャンネル音声とほぼ同等の空間的印象を与えることが明らかとなった。</w:t>
      </w:r>
    </w:p>
    <w:sectPr w:rsidR="00392ABD" w:rsidRPr="00392A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BD"/>
    <w:rsid w:val="00040D72"/>
    <w:rsid w:val="002A0BF8"/>
    <w:rsid w:val="00392ABD"/>
    <w:rsid w:val="007060B9"/>
    <w:rsid w:val="0084358B"/>
    <w:rsid w:val="00913328"/>
    <w:rsid w:val="009174AB"/>
    <w:rsid w:val="00B858A2"/>
    <w:rsid w:val="00B92D7D"/>
    <w:rsid w:val="00C11CA1"/>
    <w:rsid w:val="00CF4092"/>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B0A3"/>
  <w15:chartTrackingRefBased/>
  <w15:docId w15:val="{DB0E2549-482E-5147-8E5D-134228832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92A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4323">
      <w:bodyDiv w:val="1"/>
      <w:marLeft w:val="0"/>
      <w:marRight w:val="0"/>
      <w:marTop w:val="0"/>
      <w:marBottom w:val="0"/>
      <w:divBdr>
        <w:top w:val="none" w:sz="0" w:space="0" w:color="auto"/>
        <w:left w:val="none" w:sz="0" w:space="0" w:color="auto"/>
        <w:bottom w:val="none" w:sz="0" w:space="0" w:color="auto"/>
        <w:right w:val="none" w:sz="0" w:space="0" w:color="auto"/>
      </w:divBdr>
    </w:div>
    <w:div w:id="714238583">
      <w:bodyDiv w:val="1"/>
      <w:marLeft w:val="0"/>
      <w:marRight w:val="0"/>
      <w:marTop w:val="0"/>
      <w:marBottom w:val="0"/>
      <w:divBdr>
        <w:top w:val="none" w:sz="0" w:space="0" w:color="auto"/>
        <w:left w:val="none" w:sz="0" w:space="0" w:color="auto"/>
        <w:bottom w:val="none" w:sz="0" w:space="0" w:color="auto"/>
        <w:right w:val="none" w:sz="0" w:space="0" w:color="auto"/>
      </w:divBdr>
      <w:divsChild>
        <w:div w:id="1389570349">
          <w:marLeft w:val="0"/>
          <w:marRight w:val="0"/>
          <w:marTop w:val="0"/>
          <w:marBottom w:val="0"/>
          <w:divBdr>
            <w:top w:val="none" w:sz="0" w:space="0" w:color="auto"/>
            <w:left w:val="none" w:sz="0" w:space="0" w:color="auto"/>
            <w:bottom w:val="none" w:sz="0" w:space="0" w:color="auto"/>
            <w:right w:val="none" w:sz="0" w:space="0" w:color="auto"/>
          </w:divBdr>
          <w:divsChild>
            <w:div w:id="1808276390">
              <w:marLeft w:val="0"/>
              <w:marRight w:val="0"/>
              <w:marTop w:val="0"/>
              <w:marBottom w:val="0"/>
              <w:divBdr>
                <w:top w:val="none" w:sz="0" w:space="0" w:color="auto"/>
                <w:left w:val="none" w:sz="0" w:space="0" w:color="auto"/>
                <w:bottom w:val="none" w:sz="0" w:space="0" w:color="auto"/>
                <w:right w:val="none" w:sz="0" w:space="0" w:color="auto"/>
              </w:divBdr>
              <w:divsChild>
                <w:div w:id="395859523">
                  <w:marLeft w:val="0"/>
                  <w:marRight w:val="0"/>
                  <w:marTop w:val="0"/>
                  <w:marBottom w:val="0"/>
                  <w:divBdr>
                    <w:top w:val="none" w:sz="0" w:space="0" w:color="auto"/>
                    <w:left w:val="none" w:sz="0" w:space="0" w:color="auto"/>
                    <w:bottom w:val="none" w:sz="0" w:space="0" w:color="auto"/>
                    <w:right w:val="none" w:sz="0" w:space="0" w:color="auto"/>
                  </w:divBdr>
                </w:div>
              </w:divsChild>
            </w:div>
            <w:div w:id="375665539">
              <w:marLeft w:val="0"/>
              <w:marRight w:val="0"/>
              <w:marTop w:val="0"/>
              <w:marBottom w:val="0"/>
              <w:divBdr>
                <w:top w:val="none" w:sz="0" w:space="0" w:color="auto"/>
                <w:left w:val="none" w:sz="0" w:space="0" w:color="auto"/>
                <w:bottom w:val="none" w:sz="0" w:space="0" w:color="auto"/>
                <w:right w:val="none" w:sz="0" w:space="0" w:color="auto"/>
              </w:divBdr>
              <w:divsChild>
                <w:div w:id="10594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20DD7-5B10-894E-9D5C-2AC4F5FF0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6</cp:revision>
  <dcterms:created xsi:type="dcterms:W3CDTF">2026-01-06T05:01:00Z</dcterms:created>
  <dcterms:modified xsi:type="dcterms:W3CDTF">2026-01-12T05:18:00Z</dcterms:modified>
</cp:coreProperties>
</file>