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60DD3" w:rsidRDefault="00D60DD3" w:rsidP="00D60DD3">
      <w:pPr>
        <w:pStyle w:val="NormalWeb"/>
        <w:jc w:val="right"/>
        <w:rPr>
          <w:rFonts w:ascii="Calibri" w:hAnsi="Calibri" w:cs="Calibri"/>
        </w:rPr>
      </w:pPr>
      <w:r>
        <w:rPr>
          <w:rFonts w:ascii="MS Mincho" w:eastAsia="MS Mincho" w:hAnsi="MS Mincho" w:cs="MS Mincho" w:hint="eastAsia"/>
        </w:rPr>
        <w:t>学籍番号</w:t>
      </w:r>
      <w:r>
        <w:rPr>
          <w:rFonts w:ascii="Calibri" w:hAnsi="Calibri" w:cs="Calibri"/>
        </w:rPr>
        <w:t xml:space="preserve">: 25Y0009 </w:t>
      </w:r>
      <w:r>
        <w:rPr>
          <w:rFonts w:ascii="MS Mincho" w:eastAsia="MS Mincho" w:hAnsi="MS Mincho" w:cs="MS Mincho" w:hint="eastAsia"/>
        </w:rPr>
        <w:t>氏名</w:t>
      </w:r>
      <w:r>
        <w:rPr>
          <w:rFonts w:ascii="Calibri" w:hAnsi="Calibri" w:cs="Calibri"/>
        </w:rPr>
        <w:t>: Davaakhuu Undarmaa</w:t>
      </w:r>
    </w:p>
    <w:p w:rsidR="00D60DD3" w:rsidRPr="00D60DD3" w:rsidRDefault="00D60DD3" w:rsidP="00D60DD3">
      <w:pPr>
        <w:pStyle w:val="NormalWeb"/>
        <w:rPr>
          <w:rFonts w:ascii="MS Mincho" w:eastAsia="MS Mincho" w:hAnsi="MS Mincho" w:cs="MS Mincho"/>
          <w:b/>
          <w:bCs/>
        </w:rPr>
      </w:pPr>
      <w:r w:rsidRPr="00D60DD3">
        <w:rPr>
          <w:rFonts w:ascii="MS Mincho" w:eastAsia="MS Mincho" w:hAnsi="MS Mincho" w:cs="MS Mincho" w:hint="eastAsia"/>
          <w:b/>
          <w:bCs/>
        </w:rPr>
        <w:t>タイトル</w:t>
      </w:r>
      <w:r w:rsidRPr="00D60DD3">
        <w:rPr>
          <w:rFonts w:ascii="YuMincho" w:hAnsi="YuMincho"/>
          <w:b/>
          <w:bCs/>
        </w:rPr>
        <w:t xml:space="preserve"> :</w:t>
      </w:r>
      <w:r w:rsidRPr="00D60DD3">
        <w:rPr>
          <w:rFonts w:hint="eastAsia"/>
          <w:b/>
          <w:bCs/>
        </w:rPr>
        <w:t xml:space="preserve"> </w:t>
      </w:r>
      <w:r w:rsidRPr="00D60DD3">
        <w:rPr>
          <w:b/>
          <w:bCs/>
          <w:lang w:val="mn-MN"/>
        </w:rPr>
        <w:t xml:space="preserve"> </w:t>
      </w:r>
      <w:r w:rsidRPr="00D60DD3">
        <w:rPr>
          <w:rFonts w:ascii="MS Mincho" w:eastAsia="MS Mincho" w:hAnsi="MS Mincho" w:cs="MS Mincho" w:hint="eastAsia"/>
          <w:b/>
          <w:bCs/>
        </w:rPr>
        <w:t>IoTデータを活用したメンタルヘルスモニタリングとプライバシー保護</w:t>
      </w:r>
    </w:p>
    <w:p w:rsidR="00D60DD3" w:rsidRPr="00D60DD3" w:rsidRDefault="00D60DD3" w:rsidP="00D60DD3">
      <w:pPr>
        <w:pStyle w:val="NormalWeb"/>
        <w:spacing w:before="0" w:beforeAutospacing="0" w:after="0" w:afterAutospacing="0"/>
        <w:rPr>
          <w:rFonts w:asciiTheme="minorEastAsia" w:eastAsiaTheme="minorEastAsia" w:hAnsiTheme="minorEastAsia"/>
        </w:rPr>
      </w:pPr>
      <w:r>
        <w:rPr>
          <w:rFonts w:ascii="MS Mincho" w:eastAsia="MS Mincho" w:hAnsi="MS Mincho" w:cs="MS Mincho" w:hint="eastAsia"/>
        </w:rPr>
        <w:t xml:space="preserve"> </w:t>
      </w:r>
      <w:r w:rsidRPr="00D60DD3">
        <w:rPr>
          <w:rFonts w:asciiTheme="minorEastAsia" w:eastAsiaTheme="minorEastAsia" w:hAnsiTheme="minorEastAsia" w:cs="MS Mincho" w:hint="eastAsia"/>
        </w:rPr>
        <w:t>近年、ストレスやうつ病などのメンタルヘルス問題が深刻化しており、これらを早期に発見・対処することの重要性が高まっている。ウェアラブルデバイスやスマートフォンなどの</w:t>
      </w:r>
      <w:r w:rsidRPr="00D60DD3">
        <w:rPr>
          <w:rFonts w:asciiTheme="minorEastAsia" w:eastAsiaTheme="minorEastAsia" w:hAnsiTheme="minorEastAsia"/>
        </w:rPr>
        <w:t>IoT</w:t>
      </w:r>
      <w:r w:rsidRPr="00D60DD3">
        <w:rPr>
          <w:rFonts w:asciiTheme="minorEastAsia" w:eastAsiaTheme="minorEastAsia" w:hAnsiTheme="minorEastAsia" w:cs="MS Mincho" w:hint="eastAsia"/>
        </w:rPr>
        <w:t>機器を活用することで、日常的なバイタルデータや行動パターンを分析し、ユーザーの精神状態をリアルタイムでモニタリングすることが可能になっている。</w:t>
      </w:r>
      <w:r w:rsidRPr="00D60DD3">
        <w:rPr>
          <w:rFonts w:asciiTheme="minorEastAsia" w:eastAsiaTheme="minorEastAsia" w:hAnsiTheme="minorEastAsia"/>
        </w:rPr>
        <w:t>Oura Ring</w:t>
      </w:r>
      <w:r w:rsidRPr="00D60DD3">
        <w:rPr>
          <w:rFonts w:asciiTheme="minorEastAsia" w:eastAsiaTheme="minorEastAsia" w:hAnsiTheme="minorEastAsia" w:cs="MS Mincho" w:hint="eastAsia"/>
        </w:rPr>
        <w:t>や</w:t>
      </w:r>
      <w:r w:rsidRPr="00D60DD3">
        <w:rPr>
          <w:rFonts w:asciiTheme="minorEastAsia" w:eastAsiaTheme="minorEastAsia" w:hAnsiTheme="minorEastAsia"/>
        </w:rPr>
        <w:t>Fitbit</w:t>
      </w:r>
      <w:r w:rsidRPr="00D60DD3">
        <w:rPr>
          <w:rFonts w:asciiTheme="minorEastAsia" w:eastAsiaTheme="minorEastAsia" w:hAnsiTheme="minorEastAsia" w:cs="MS Mincho" w:hint="eastAsia"/>
        </w:rPr>
        <w:t>、</w:t>
      </w:r>
      <w:r w:rsidRPr="00D60DD3">
        <w:rPr>
          <w:rFonts w:asciiTheme="minorEastAsia" w:eastAsiaTheme="minorEastAsia" w:hAnsiTheme="minorEastAsia"/>
        </w:rPr>
        <w:t>Apple Watch</w:t>
      </w:r>
      <w:r w:rsidRPr="00D60DD3">
        <w:rPr>
          <w:rFonts w:asciiTheme="minorEastAsia" w:eastAsiaTheme="minorEastAsia" w:hAnsiTheme="minorEastAsia" w:cs="MS Mincho" w:hint="eastAsia"/>
        </w:rPr>
        <w:t>などのウェアラブルデバイスは、心拍数、睡眠パターン、活動量、体温などのデータを収集する。これらのデータを</w:t>
      </w:r>
      <w:r w:rsidRPr="00D60DD3">
        <w:rPr>
          <w:rFonts w:asciiTheme="minorEastAsia" w:eastAsiaTheme="minorEastAsia" w:hAnsiTheme="minorEastAsia"/>
        </w:rPr>
        <w:t>AI</w:t>
      </w:r>
      <w:r w:rsidRPr="00D60DD3">
        <w:rPr>
          <w:rFonts w:asciiTheme="minorEastAsia" w:eastAsiaTheme="minorEastAsia" w:hAnsiTheme="minorEastAsia" w:cs="MS Mincho" w:hint="eastAsia"/>
        </w:rPr>
        <w:t>が分析し、ストレスレベルや疲労度、睡眠の質などを評価し、必要に応じてユーザーに通知やアドバイスを行う。特に</w:t>
      </w:r>
      <w:r w:rsidRPr="00D60DD3">
        <w:rPr>
          <w:rFonts w:asciiTheme="minorEastAsia" w:eastAsiaTheme="minorEastAsia" w:hAnsiTheme="minorEastAsia"/>
        </w:rPr>
        <w:t>Oura Ring</w:t>
      </w:r>
      <w:r w:rsidRPr="00D60DD3">
        <w:rPr>
          <w:rFonts w:asciiTheme="minorEastAsia" w:eastAsiaTheme="minorEastAsia" w:hAnsiTheme="minorEastAsia" w:cs="MS Mincho" w:hint="eastAsia"/>
        </w:rPr>
        <w:t>は、医療グレードのデータ収集能力を備えており、初期段階のうつ症状や過労兆候の検知にも活用されている。プライバシー保護の配慮</w:t>
      </w:r>
      <w:r w:rsidRPr="00D60DD3">
        <w:rPr>
          <w:rFonts w:asciiTheme="minorEastAsia" w:eastAsiaTheme="minorEastAsia" w:hAnsiTheme="minorEastAsia"/>
          <w:lang w:val="en-US"/>
        </w:rPr>
        <w:t xml:space="preserve"> </w:t>
      </w:r>
      <w:r w:rsidRPr="00D60DD3">
        <w:rPr>
          <w:rFonts w:asciiTheme="minorEastAsia" w:eastAsiaTheme="minorEastAsia" w:hAnsiTheme="minorEastAsia" w:cs="MS Mincho" w:hint="eastAsia"/>
        </w:rPr>
        <w:t>メンタルヘルス関連のデータは極めてセンシティブな個人情報であるため、強固なプライバシー保護が求められる。日本では個人情報保護法により、匿名加工情報や仮名加工情報の活用が推奨されており、欧州では</w:t>
      </w:r>
      <w:r w:rsidRPr="00D60DD3">
        <w:rPr>
          <w:rFonts w:asciiTheme="minorEastAsia" w:eastAsiaTheme="minorEastAsia" w:hAnsiTheme="minorEastAsia"/>
        </w:rPr>
        <w:t>GDPR</w:t>
      </w:r>
      <w:r w:rsidRPr="00D60DD3">
        <w:rPr>
          <w:rFonts w:asciiTheme="minorEastAsia" w:eastAsiaTheme="minorEastAsia" w:hAnsiTheme="minorEastAsia" w:cs="MS Mincho" w:hint="eastAsia"/>
        </w:rPr>
        <w:t>に基づき、本人の明示的な同意や目的外利用の禁止などが義務付けられている。</w:t>
      </w:r>
    </w:p>
    <w:p w:rsidR="00D60DD3" w:rsidRDefault="00D60DD3" w:rsidP="00D60DD3">
      <w:pPr>
        <w:pStyle w:val="NormalWeb"/>
        <w:numPr>
          <w:ilvl w:val="0"/>
          <w:numId w:val="1"/>
        </w:numPr>
        <w:spacing w:before="0" w:beforeAutospacing="0" w:after="0" w:afterAutospacing="0"/>
        <w:ind w:left="0"/>
      </w:pPr>
      <w:r>
        <w:rPr>
          <w:rStyle w:val="Strong"/>
        </w:rPr>
        <w:t>k-</w:t>
      </w:r>
      <w:r>
        <w:rPr>
          <w:rStyle w:val="Strong"/>
          <w:rFonts w:ascii="MS Mincho" w:eastAsia="MS Mincho" w:hAnsi="MS Mincho" w:cs="MS Mincho" w:hint="eastAsia"/>
        </w:rPr>
        <w:t>匿名化</w:t>
      </w:r>
      <w:r>
        <w:rPr>
          <w:rFonts w:ascii="MS Mincho" w:eastAsia="MS Mincho" w:hAnsi="MS Mincho" w:cs="MS Mincho" w:hint="eastAsia"/>
        </w:rPr>
        <w:t>：データを複数のユーザーが属するグループに分類することで、個々のデータから特定の個人を識別することを困難にする手法。例えば、年齢や住所を幅広い範囲に丸めて表現することで、誰の情報か分かりにくくする。</w:t>
      </w:r>
    </w:p>
    <w:p w:rsidR="00D60DD3" w:rsidRDefault="00D60DD3" w:rsidP="00D60DD3">
      <w:pPr>
        <w:pStyle w:val="NormalWeb"/>
        <w:numPr>
          <w:ilvl w:val="0"/>
          <w:numId w:val="1"/>
        </w:numPr>
        <w:spacing w:before="0" w:beforeAutospacing="0" w:after="0" w:afterAutospacing="0"/>
        <w:ind w:left="0"/>
      </w:pPr>
      <w:r>
        <w:rPr>
          <w:rStyle w:val="Strong"/>
          <w:rFonts w:ascii="MS Mincho" w:eastAsia="MS Mincho" w:hAnsi="MS Mincho" w:cs="MS Mincho" w:hint="eastAsia"/>
        </w:rPr>
        <w:t>差分プライバシー</w:t>
      </w:r>
      <w:r>
        <w:rPr>
          <w:rFonts w:ascii="MS Mincho" w:eastAsia="MS Mincho" w:hAnsi="MS Mincho" w:cs="MS Mincho" w:hint="eastAsia"/>
        </w:rPr>
        <w:t>：個々のデータに統計的なノイズ（ランダムな値）を加えることで、第三者が結果から特定の個人の情報を推測できないようにする技術。多くの人の情報を安全に集計し、個人のプライバシーを守りながら分析を可能にする。</w:t>
      </w:r>
    </w:p>
    <w:p w:rsidR="00D60DD3" w:rsidRDefault="00D60DD3" w:rsidP="00D60DD3">
      <w:pPr>
        <w:pStyle w:val="NormalWeb"/>
        <w:numPr>
          <w:ilvl w:val="0"/>
          <w:numId w:val="1"/>
        </w:numPr>
        <w:spacing w:before="0" w:beforeAutospacing="0" w:after="0" w:afterAutospacing="0"/>
        <w:ind w:left="0"/>
      </w:pPr>
      <w:r>
        <w:rPr>
          <w:rStyle w:val="Strong"/>
          <w:rFonts w:ascii="MS Mincho" w:eastAsia="MS Mincho" w:hAnsi="MS Mincho" w:cs="MS Mincho" w:hint="eastAsia"/>
        </w:rPr>
        <w:t>連合学習（</w:t>
      </w:r>
      <w:r>
        <w:rPr>
          <w:rStyle w:val="Strong"/>
        </w:rPr>
        <w:t>Federated Learning</w:t>
      </w:r>
      <w:r>
        <w:rPr>
          <w:rStyle w:val="Strong"/>
          <w:rFonts w:ascii="MS Mincho" w:eastAsia="MS Mincho" w:hAnsi="MS Mincho" w:cs="MS Mincho" w:hint="eastAsia"/>
        </w:rPr>
        <w:t>）</w:t>
      </w:r>
      <w:r>
        <w:rPr>
          <w:rFonts w:ascii="MS Mincho" w:eastAsia="MS Mincho" w:hAnsi="MS Mincho" w:cs="MS Mincho" w:hint="eastAsia"/>
        </w:rPr>
        <w:t>：ユーザーのデータをクラウドに送信せず、各端末に分散されたままで</w:t>
      </w:r>
      <w:r>
        <w:t>AI</w:t>
      </w:r>
      <w:r>
        <w:rPr>
          <w:rFonts w:ascii="MS Mincho" w:eastAsia="MS Mincho" w:hAnsi="MS Mincho" w:cs="MS Mincho" w:hint="eastAsia"/>
        </w:rPr>
        <w:t>モデルの学習を行う方法。これにより、データの漏えいリスクを最小限に抑えつつ、高精度なモデル構築が可能になる。</w:t>
      </w:r>
    </w:p>
    <w:p w:rsidR="00D60DD3" w:rsidRPr="00D60DD3" w:rsidRDefault="00D60DD3" w:rsidP="00D60DD3">
      <w:pPr>
        <w:pStyle w:val="NormalWeb"/>
        <w:numPr>
          <w:ilvl w:val="0"/>
          <w:numId w:val="1"/>
        </w:numPr>
        <w:spacing w:before="0" w:beforeAutospacing="0" w:after="0" w:afterAutospacing="0"/>
        <w:ind w:left="0"/>
      </w:pPr>
      <w:r>
        <w:rPr>
          <w:rStyle w:val="Strong"/>
          <w:rFonts w:ascii="MS Mincho" w:eastAsia="MS Mincho" w:hAnsi="MS Mincho" w:cs="MS Mincho" w:hint="eastAsia"/>
        </w:rPr>
        <w:t>暗号化通信（</w:t>
      </w:r>
      <w:r>
        <w:rPr>
          <w:rStyle w:val="Strong"/>
        </w:rPr>
        <w:t>TLS/AES</w:t>
      </w:r>
      <w:r>
        <w:rPr>
          <w:rStyle w:val="Strong"/>
          <w:rFonts w:ascii="MS Mincho" w:eastAsia="MS Mincho" w:hAnsi="MS Mincho" w:cs="MS Mincho" w:hint="eastAsia"/>
        </w:rPr>
        <w:t>）</w:t>
      </w:r>
      <w:r>
        <w:rPr>
          <w:rFonts w:ascii="MS Mincho" w:eastAsia="MS Mincho" w:hAnsi="MS Mincho" w:cs="MS Mincho" w:hint="eastAsia"/>
        </w:rPr>
        <w:t>：インターネットを通じてデータを送受信する際、または保存する際に、情報を暗号化して第三者が読み取れないようにするセキュリティ技術。</w:t>
      </w:r>
      <w:r>
        <w:t>TLS</w:t>
      </w:r>
      <w:r>
        <w:rPr>
          <w:rFonts w:ascii="MS Mincho" w:eastAsia="MS Mincho" w:hAnsi="MS Mincho" w:cs="MS Mincho" w:hint="eastAsia"/>
        </w:rPr>
        <w:t>は通信路の暗号化、</w:t>
      </w:r>
      <w:r>
        <w:t>AES</w:t>
      </w:r>
      <w:r>
        <w:rPr>
          <w:rFonts w:ascii="MS Mincho" w:eastAsia="MS Mincho" w:hAnsi="MS Mincho" w:cs="MS Mincho" w:hint="eastAsia"/>
        </w:rPr>
        <w:t>はデータそのものの暗号化に広く使用されている。</w:t>
      </w:r>
    </w:p>
    <w:p w:rsidR="00D60DD3" w:rsidRDefault="00D60DD3" w:rsidP="00D60DD3">
      <w:pPr>
        <w:pStyle w:val="NormalWeb"/>
        <w:spacing w:before="0" w:beforeAutospacing="0" w:after="0" w:afterAutospacing="0"/>
        <w:rPr>
          <w:rFonts w:hint="eastAsia"/>
        </w:rPr>
      </w:pPr>
    </w:p>
    <w:p w:rsidR="00D60DD3" w:rsidRDefault="00D60DD3" w:rsidP="00D60DD3">
      <w:pPr>
        <w:pStyle w:val="NormalWeb"/>
        <w:spacing w:before="0" w:beforeAutospacing="0" w:after="0" w:afterAutospacing="0"/>
        <w:rPr>
          <w:rFonts w:asciiTheme="minorEastAsia" w:eastAsiaTheme="minorEastAsia" w:hAnsiTheme="minorEastAsia"/>
          <w:b/>
          <w:bCs/>
        </w:rPr>
      </w:pPr>
      <w:r w:rsidRPr="00D60DD3">
        <w:rPr>
          <w:rFonts w:asciiTheme="minorEastAsia" w:eastAsiaTheme="minorEastAsia" w:hAnsiTheme="minorEastAsia" w:cs="MS Mincho" w:hint="eastAsia"/>
        </w:rPr>
        <w:t>おわりに</w:t>
      </w:r>
      <w:r w:rsidRPr="00D60DD3">
        <w:rPr>
          <w:rFonts w:asciiTheme="minorEastAsia" w:eastAsiaTheme="minorEastAsia" w:hAnsiTheme="minorEastAsia" w:cs="MS Mincho"/>
        </w:rPr>
        <w:t>Mental Health</w:t>
      </w:r>
      <w:r w:rsidRPr="00D60DD3">
        <w:rPr>
          <w:rFonts w:asciiTheme="minorEastAsia" w:eastAsiaTheme="minorEastAsia" w:hAnsiTheme="minorEastAsia" w:cs="MS Mincho" w:hint="eastAsia"/>
        </w:rPr>
        <w:t>分野におけるIoTの活用は、個人の健康維持や予防医療に貢献する有効な手段であると考えられている。一方で、センシティブな個人情報を扱うことから、高度なプライバシー保護技術の導入および関連法規の遵守が不可欠であると指摘されている。</w:t>
      </w:r>
    </w:p>
    <w:p w:rsidR="00D60DD3" w:rsidRPr="00D60DD3" w:rsidRDefault="00D60DD3" w:rsidP="00D60DD3">
      <w:pPr>
        <w:pStyle w:val="NormalWeb"/>
        <w:spacing w:before="0" w:beforeAutospacing="0" w:after="0" w:afterAutospacing="0"/>
        <w:rPr>
          <w:rFonts w:asciiTheme="minorEastAsia" w:eastAsiaTheme="minorEastAsia" w:hAnsiTheme="minorEastAsia"/>
          <w:b/>
          <w:bCs/>
        </w:rPr>
      </w:pPr>
      <w:r w:rsidRPr="00D60DD3">
        <w:rPr>
          <w:rFonts w:asciiTheme="minorEastAsia" w:eastAsiaTheme="minorEastAsia" w:hAnsiTheme="minorEastAsia" w:hint="eastAsia"/>
          <w:b/>
          <w:bCs/>
        </w:rPr>
        <w:t>参考資料：</w:t>
      </w:r>
    </w:p>
    <w:p w:rsidR="00D60DD3" w:rsidRPr="00D60DD3" w:rsidRDefault="00D60DD3" w:rsidP="00D60DD3">
      <w:pPr>
        <w:pStyle w:val="NormalWeb"/>
        <w:spacing w:before="0" w:beforeAutospacing="0" w:after="0" w:afterAutospacing="0"/>
        <w:rPr>
          <w:rFonts w:asciiTheme="minorEastAsia" w:eastAsiaTheme="minorEastAsia" w:hAnsiTheme="minorEastAsia"/>
        </w:rPr>
      </w:pPr>
      <w:r w:rsidRPr="00D60DD3">
        <w:rPr>
          <w:rFonts w:asciiTheme="minorEastAsia" w:eastAsiaTheme="minorEastAsia" w:hAnsiTheme="minorEastAsia"/>
        </w:rPr>
        <w:t>Oura Health Inc. (2024). "Oura Ring Technology and Privacy" https://ouraring.com/</w:t>
      </w:r>
    </w:p>
    <w:p w:rsidR="00D60DD3" w:rsidRPr="00D60DD3" w:rsidRDefault="00D60DD3" w:rsidP="00D60DD3">
      <w:pPr>
        <w:pStyle w:val="NormalWeb"/>
        <w:spacing w:before="0" w:beforeAutospacing="0" w:after="0" w:afterAutospacing="0"/>
        <w:rPr>
          <w:rFonts w:asciiTheme="minorEastAsia" w:eastAsiaTheme="minorEastAsia" w:hAnsiTheme="minorEastAsia"/>
        </w:rPr>
      </w:pPr>
      <w:r w:rsidRPr="00D60DD3">
        <w:rPr>
          <w:rFonts w:asciiTheme="minorEastAsia" w:eastAsiaTheme="minorEastAsia" w:hAnsiTheme="minorEastAsia"/>
        </w:rPr>
        <w:t>European Commission. (2024). "GDPR and Health Data Regulation" https://gdpr.eu/</w:t>
      </w:r>
    </w:p>
    <w:p w:rsidR="00D60DD3" w:rsidRPr="00D60DD3" w:rsidRDefault="00D60DD3" w:rsidP="00D60DD3">
      <w:pPr>
        <w:pStyle w:val="NormalWeb"/>
        <w:rPr>
          <w:rFonts w:asciiTheme="minorEastAsia" w:eastAsiaTheme="minorEastAsia" w:hAnsiTheme="minorEastAsia" w:hint="eastAsia"/>
        </w:rPr>
      </w:pPr>
    </w:p>
    <w:sectPr w:rsidR="00D60DD3" w:rsidRPr="00D60D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Mincho">
    <w:altName w:val="Cambria"/>
    <w:panose1 w:val="020B0604020202020204"/>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24389"/>
    <w:multiLevelType w:val="multilevel"/>
    <w:tmpl w:val="2122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2A2323"/>
    <w:multiLevelType w:val="multilevel"/>
    <w:tmpl w:val="405EB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157175">
    <w:abstractNumId w:val="0"/>
  </w:num>
  <w:num w:numId="2" w16cid:durableId="1308587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DD3"/>
    <w:rsid w:val="00913328"/>
    <w:rsid w:val="009174AB"/>
    <w:rsid w:val="00B92D7D"/>
    <w:rsid w:val="00D60DD3"/>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034A5A4"/>
  <w15:chartTrackingRefBased/>
  <w15:docId w15:val="{024F25A6-A680-A048-8E23-F54AF1D2E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JP"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60DD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0D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04930">
      <w:bodyDiv w:val="1"/>
      <w:marLeft w:val="0"/>
      <w:marRight w:val="0"/>
      <w:marTop w:val="0"/>
      <w:marBottom w:val="0"/>
      <w:divBdr>
        <w:top w:val="none" w:sz="0" w:space="0" w:color="auto"/>
        <w:left w:val="none" w:sz="0" w:space="0" w:color="auto"/>
        <w:bottom w:val="none" w:sz="0" w:space="0" w:color="auto"/>
        <w:right w:val="none" w:sz="0" w:space="0" w:color="auto"/>
      </w:divBdr>
    </w:div>
    <w:div w:id="705642191">
      <w:bodyDiv w:val="1"/>
      <w:marLeft w:val="0"/>
      <w:marRight w:val="0"/>
      <w:marTop w:val="0"/>
      <w:marBottom w:val="0"/>
      <w:divBdr>
        <w:top w:val="none" w:sz="0" w:space="0" w:color="auto"/>
        <w:left w:val="none" w:sz="0" w:space="0" w:color="auto"/>
        <w:bottom w:val="none" w:sz="0" w:space="0" w:color="auto"/>
        <w:right w:val="none" w:sz="0" w:space="0" w:color="auto"/>
      </w:divBdr>
      <w:divsChild>
        <w:div w:id="585268450">
          <w:marLeft w:val="0"/>
          <w:marRight w:val="0"/>
          <w:marTop w:val="0"/>
          <w:marBottom w:val="0"/>
          <w:divBdr>
            <w:top w:val="none" w:sz="0" w:space="0" w:color="auto"/>
            <w:left w:val="none" w:sz="0" w:space="0" w:color="auto"/>
            <w:bottom w:val="none" w:sz="0" w:space="0" w:color="auto"/>
            <w:right w:val="none" w:sz="0" w:space="0" w:color="auto"/>
          </w:divBdr>
          <w:divsChild>
            <w:div w:id="235676091">
              <w:marLeft w:val="0"/>
              <w:marRight w:val="0"/>
              <w:marTop w:val="0"/>
              <w:marBottom w:val="0"/>
              <w:divBdr>
                <w:top w:val="none" w:sz="0" w:space="0" w:color="auto"/>
                <w:left w:val="none" w:sz="0" w:space="0" w:color="auto"/>
                <w:bottom w:val="none" w:sz="0" w:space="0" w:color="auto"/>
                <w:right w:val="none" w:sz="0" w:space="0" w:color="auto"/>
              </w:divBdr>
              <w:divsChild>
                <w:div w:id="181197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76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197</Words>
  <Characters>1128</Characters>
  <Application>Microsoft Office Word</Application>
  <DocSecurity>0</DocSecurity>
  <Lines>9</Lines>
  <Paragraphs>2</Paragraphs>
  <ScaleCrop>false</ScaleCrop>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undarmaa581@gmail.com</dc:creator>
  <cp:keywords/>
  <dc:description/>
  <cp:lastModifiedBy>undarmaa581@gmail.com</cp:lastModifiedBy>
  <cp:revision>1</cp:revision>
  <dcterms:created xsi:type="dcterms:W3CDTF">2025-07-11T04:45:00Z</dcterms:created>
  <dcterms:modified xsi:type="dcterms:W3CDTF">2025-07-11T05:16:00Z</dcterms:modified>
</cp:coreProperties>
</file>