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E74B5"/>
          <w:sz w:val="20"/>
        </w:rPr>
        <w:t>VERTRAGS- UND VERLÄNGERUNGSÜBERSICHT</w:t>
      </w:r>
    </w:p>
    <w:p>
      <w:pPr>
        <w:spacing w:before="0" w:after="80"/>
      </w:pPr>
      <w:r>
        <w:rPr>
          <w:rFonts w:ascii="Calibri" w:hAnsi="Calibri"/>
          <w:b/>
          <w:color w:val="243447"/>
          <w:sz w:val="48"/>
        </w:rPr>
        <w:t>ai-experts.network</w:t>
      </w:r>
    </w:p>
    <w:p>
      <w:pPr>
        <w:spacing w:before="0" w:after="240"/>
      </w:pPr>
      <w:r>
        <w:rPr>
          <w:rFonts w:ascii="Calibri" w:hAnsi="Calibri"/>
          <w:color w:val="667085"/>
          <w:sz w:val="26"/>
        </w:rPr>
        <w:t>Domain, Premium Web Hosting und Business E-Mail</w:t>
      </w:r>
    </w:p>
    <w:p>
      <w:pPr>
        <w:spacing w:after="200"/>
      </w:pPr>
      <w:r>
        <w:rPr>
          <w:b/>
        </w:rPr>
        <w:t xml:space="preserve">Kurzfassung: </w:t>
      </w:r>
      <w:r>
        <w:t>Alle drei Leistungen sind derzeit aktiv und bis zu den unten genannten Ablaufdaten abgedeckt. Die automatische Verlängerung ist für alle Positionen eingeschaltet.</w:t>
      </w:r>
    </w:p>
    <w:p>
      <w:pPr>
        <w:pStyle w:val="Heading1"/>
      </w:pPr>
      <w:r>
        <w:t>Hostinger Account</w:t>
      </w:r>
    </w:p>
    <w:p>
      <w:pPr>
        <w:spacing w:after="140"/>
      </w:pPr>
      <w:r>
        <w:rPr>
          <w:rFonts w:ascii="Calibri" w:hAnsi="Calibri"/>
          <w:b/>
          <w:color w:val="1F4D78"/>
          <w:sz w:val="20"/>
        </w:rPr>
        <w:t xml:space="preserve">Zentrale Verwaltungsadresse: </w:t>
      </w:r>
      <w:r>
        <w:rPr>
          <w:rFonts w:ascii="Calibri" w:hAnsi="Calibri"/>
          <w:color w:val="2E74B5"/>
          <w:sz w:val="20"/>
        </w:rPr>
        <w:t>https://hpanel.hostinger.com/</w:t>
      </w:r>
    </w:p>
    <w:tbl>
      <w:tblPr>
        <w:tblStyle w:val="TableGrid"/>
        <w:tblW w:type="dxa" w:w="9360"/>
        <w:tblLayout w:type="fixed"/>
        <w:tblLook w:firstColumn="1" w:firstRow="1" w:lastColumn="0" w:lastRow="0" w:noHBand="0" w:noVBand="1" w:val="04A0"/>
        <w:tblInd w:w="120" w:type="dxa"/>
      </w:tblPr>
      <w:tblGrid>
        <w:gridCol w:w="3100"/>
        <w:gridCol w:w="4260"/>
        <w:gridCol w:w="2000"/>
      </w:tblGrid>
      <w:tr>
        <w:tc>
          <w:tcPr>
            <w:tcW w:type="dxa" w:w="31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Bereich</w:t>
            </w:r>
          </w:p>
        </w:tc>
        <w:tc>
          <w:tcPr>
            <w:tcW w:type="dxa" w:w="426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Benutzer / E-Mail-Adresse</w:t>
            </w:r>
          </w:p>
        </w:tc>
        <w:tc>
          <w:tcPr>
            <w:tcW w:type="dxa" w:w="20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Passwort</w:t>
            </w:r>
          </w:p>
        </w:tc>
      </w:tr>
      <w:tr>
        <w:tc>
          <w:tcPr>
            <w:tcW w:type="dxa" w:w="3100"/>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Hostinger hPanel / Account</w:t>
            </w:r>
          </w:p>
        </w:tc>
        <w:tc>
          <w:tcPr>
            <w:tcW w:type="dxa" w:w="42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ai.experts.network@gmail.com</w:t>
            </w:r>
          </w:p>
        </w:tc>
        <w:tc>
          <w:tcPr>
            <w:tcW w:type="dxa" w:w="2000"/>
            <w:vAlign w:val="center"/>
            <w:tcMar>
              <w:top w:w="80" w:type="dxa"/>
              <w:start w:w="120" w:type="dxa"/>
              <w:bottom w:w="80" w:type="dxa"/>
              <w:end w:w="120" w:type="dxa"/>
            </w:tcMar>
          </w:tcPr>
          <w:p>
            <w:pPr>
              <w:spacing w:before="0" w:after="0" w:line="259" w:lineRule="auto"/>
              <w:jc w:val="center"/>
            </w:pPr>
            <w:r>
              <w:rPr>
                <w:rFonts w:ascii="Calibri" w:hAnsi="Calibri"/>
                <w:b/>
                <w:color w:val="243447"/>
                <w:sz w:val="18"/>
              </w:rPr>
              <w:t>abc123</w:t>
            </w:r>
          </w:p>
        </w:tc>
      </w:tr>
      <w:tr>
        <w:tc>
          <w:tcPr>
            <w:tcW w:type="dxa" w:w="3100"/>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E-Mail-Adresse für die Hostinger-Administration</w:t>
            </w:r>
          </w:p>
        </w:tc>
        <w:tc>
          <w:tcPr>
            <w:tcW w:type="dxa" w:w="42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ai.experts.network@gmail.com</w:t>
            </w:r>
          </w:p>
        </w:tc>
        <w:tc>
          <w:tcPr>
            <w:tcW w:type="dxa" w:w="2000"/>
            <w:vAlign w:val="center"/>
            <w:tcMar>
              <w:top w:w="80" w:type="dxa"/>
              <w:start w:w="120" w:type="dxa"/>
              <w:bottom w:w="80" w:type="dxa"/>
              <w:end w:w="120" w:type="dxa"/>
            </w:tcMar>
          </w:tcPr>
          <w:p>
            <w:pPr>
              <w:spacing w:before="0" w:after="0" w:line="259" w:lineRule="auto"/>
              <w:jc w:val="center"/>
            </w:pPr>
            <w:r>
              <w:rPr>
                <w:rFonts w:ascii="Calibri" w:hAnsi="Calibri"/>
                <w:b/>
                <w:color w:val="243447"/>
                <w:sz w:val="18"/>
              </w:rPr>
              <w:t>abc123</w:t>
            </w:r>
          </w:p>
        </w:tc>
      </w:tr>
    </w:tbl>
    <w:p>
      <w:pPr>
        <w:spacing w:before="120" w:after="200"/>
        <w:ind w:left="173" w:right="173"/>
        <w:shd w:fill="FFF4E5"/>
      </w:pPr>
      <w:r>
        <w:rPr>
          <w:rFonts w:ascii="Calibri" w:hAnsi="Calibri"/>
          <w:b/>
          <w:color w:val="7A5A00"/>
          <w:sz w:val="18"/>
        </w:rPr>
        <w:t xml:space="preserve">Sicherheitshinweis: </w:t>
      </w:r>
      <w:r>
        <w:rPr>
          <w:rFonts w:ascii="Calibri" w:hAnsi="Calibri"/>
          <w:color w:val="243447"/>
          <w:sz w:val="18"/>
        </w:rPr>
        <w:t>abc123 ist nur ein Platzhalter. Echte Passwörter sollten nur eingetragen werden, wenn die Datei verschlüsselt gespeichert und der Zugriff auf berechtigte Vorstandsmitglieder beschränkt wird. Sicherer ist die Ablage in einem Passwortmanager.</w:t>
      </w:r>
    </w:p>
    <w:p>
      <w:pPr>
        <w:pStyle w:val="Heading1"/>
      </w:pPr>
      <w:r>
        <w:t>Aktuell abgeschlossen und bezahlt</w:t>
      </w:r>
    </w:p>
    <w:p>
      <w:pPr>
        <w:spacing w:after="160"/>
      </w:pPr>
      <w:r>
        <w:rPr>
          <w:rFonts w:ascii="Calibri" w:hAnsi="Calibri"/>
          <w:color w:val="243447"/>
          <w:sz w:val="21"/>
        </w:rPr>
        <w:t xml:space="preserve">Der Verein AI Experts hat im August 2026 einen Premium-Web-Hosting-Tarif mit 12 Monaten Laufzeit abgeschlossen. </w:t>
      </w:r>
      <w:r>
        <w:rPr>
          <w:rFonts w:ascii="Calibri" w:hAnsi="Calibri"/>
          <w:b/>
          <w:color w:val="1F4D78"/>
          <w:sz w:val="21"/>
        </w:rPr>
        <w:t>Die Zahlung erfolgte mit der Vereins-Kreditkarte.</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F2F4F7"/>
            <w:vAlign w:val="center"/>
            <w:tcMar>
              <w:top w:w="80" w:type="dxa"/>
              <w:start w:w="120" w:type="dxa"/>
              <w:bottom w:w="80" w:type="dxa"/>
              <w:end w:w="120" w:type="dxa"/>
            </w:tcMar>
          </w:tcPr>
          <w:p>
            <w:pPr>
              <w:spacing w:before="0" w:after="0" w:line="259" w:lineRule="auto"/>
            </w:pPr>
            <w:r>
              <w:rPr>
                <w:rFonts w:ascii="Calibri" w:hAnsi="Calibri"/>
                <w:b/>
                <w:color w:val="1F4D78"/>
                <w:sz w:val="18"/>
              </w:rPr>
              <w:t>Vertragsdetail</w:t>
            </w:r>
          </w:p>
        </w:tc>
        <w:tc>
          <w:tcPr>
            <w:tcW w:type="dxa" w:w="6660"/>
            <w:shd w:fill="F2F4F7"/>
            <w:vAlign w:val="center"/>
            <w:tcMar>
              <w:top w:w="80" w:type="dxa"/>
              <w:start w:w="120" w:type="dxa"/>
              <w:bottom w:w="80" w:type="dxa"/>
              <w:end w:w="120" w:type="dxa"/>
            </w:tcMar>
          </w:tcPr>
          <w:p>
            <w:pPr>
              <w:spacing w:before="0" w:after="0" w:line="259" w:lineRule="auto"/>
            </w:pPr>
            <w:r>
              <w:rPr>
                <w:rFonts w:ascii="Calibri" w:hAnsi="Calibri"/>
                <w:b/>
                <w:color w:val="1F4D78"/>
                <w:sz w:val="18"/>
              </w:rPr>
              <w:t>Vereinbarter Wert</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Gebuchter Tarif</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Premium Web Hosting - 12 Monate</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Aktionspreis</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3,99 USD pro Monat (67 % Rabatt)</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Tarifpreis für 12 Monate</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47,88 USD</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Steuern und Gebühren</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9,10 USD</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Tatsächlich bezahlt</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56,98 USD insgesamt</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Zahlungsmittel</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Vereins-Kreditkarte</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Aktuell abgedeckt bis</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7. August 2027</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b/>
                <w:color w:val="1F4D78"/>
                <w:sz w:val="18"/>
              </w:rPr>
              <w:t>Verlängerung danach</w:t>
            </w:r>
          </w:p>
        </w:tc>
        <w:tc>
          <w:tcPr>
            <w:tcW w:type="dxa" w:w="6660"/>
            <w:vAlign w:val="center"/>
            <w:tcMar>
              <w:top w:w="80" w:type="dxa"/>
              <w:start w:w="120" w:type="dxa"/>
              <w:bottom w:w="80" w:type="dxa"/>
              <w:end w:w="120" w:type="dxa"/>
            </w:tcMar>
          </w:tcPr>
          <w:p>
            <w:pPr>
              <w:spacing w:before="0" w:after="0" w:line="259" w:lineRule="auto"/>
            </w:pPr>
            <w:r>
              <w:rPr>
                <w:rFonts w:ascii="Calibri" w:hAnsi="Calibri"/>
                <w:b w:val="0"/>
                <w:color w:val="243447"/>
                <w:sz w:val="18"/>
              </w:rPr>
              <w:t>10,99 USD pro Monat für 12 Monate = 131,88 USD zzgl. MwSt.</w:t>
            </w:r>
          </w:p>
        </w:tc>
      </w:tr>
    </w:tbl>
    <w:p>
      <w:pPr>
        <w:spacing w:before="140" w:after="100"/>
      </w:pPr>
      <w:r>
        <w:rPr>
          <w:rFonts w:ascii="Calibri" w:hAnsi="Calibri"/>
          <w:b/>
          <w:color w:val="1F4D78"/>
          <w:sz w:val="19"/>
        </w:rPr>
        <w:t xml:space="preserve">Im Angebot ausgewiesene Tarifleistungen: </w:t>
      </w:r>
      <w:r>
        <w:rPr>
          <w:rFonts w:ascii="Calibri" w:hAnsi="Calibri"/>
          <w:color w:val="243447"/>
          <w:sz w:val="19"/>
        </w:rPr>
        <w:t>bis zu 3 Websites, 20 GB SSD-Speicher, zwei Postfächer pro Website für ein Jahr kostenlos, 5 Vibe-Coding-Credits sowie eine kostenlose Domain für ein Jahr.</w:t>
      </w:r>
    </w:p>
    <w:p>
      <w:pPr>
        <w:spacing w:before="0" w:after="200"/>
        <w:ind w:left="173" w:right="173"/>
        <w:shd w:fill="EEF4FA"/>
      </w:pPr>
      <w:r>
        <w:rPr>
          <w:rFonts w:ascii="Calibri" w:hAnsi="Calibri"/>
          <w:b/>
          <w:color w:val="1F4D78"/>
          <w:sz w:val="19"/>
        </w:rPr>
        <w:t xml:space="preserve">Einordnung: </w:t>
      </w:r>
      <w:r>
        <w:rPr>
          <w:rFonts w:ascii="Calibri" w:hAnsi="Calibri"/>
          <w:color w:val="243447"/>
          <w:sz w:val="19"/>
        </w:rPr>
        <w:t>Der Preis von 2,99 USD/Monat aus der allgemeinen Tarifwerbung gilt für den 48-Monatsplan. Tatsächlich abgeschlossen wurde der 12-Monatsplan zu 3,99 USD/Monat. Die bereits übertragene Domain ai-experts.network wird im hPanel weiterhin als separate Domain-Subscription geführt; ihr nächster Verlängerungstermin ist deshalb unabhängig vom Hosting.</w:t>
      </w:r>
    </w:p>
    <w:p>
      <w:pPr>
        <w:pStyle w:val="Heading1"/>
      </w:pPr>
      <w:r>
        <w:t>E-Mail-Postfächer</w:t>
      </w:r>
    </w:p>
    <w:p>
      <w:pPr>
        <w:spacing w:after="140"/>
      </w:pPr>
      <w:r>
        <w:rPr>
          <w:rFonts w:ascii="Calibri" w:hAnsi="Calibri"/>
          <w:b/>
          <w:color w:val="1F4D78"/>
          <w:sz w:val="20"/>
        </w:rPr>
        <w:t xml:space="preserve">Webmail-Zugang: </w:t>
      </w:r>
      <w:r>
        <w:rPr>
          <w:rFonts w:ascii="Calibri" w:hAnsi="Calibri"/>
          <w:color w:val="2E74B5"/>
          <w:sz w:val="20"/>
        </w:rPr>
        <w:t>https://mail.hostinger.com/</w:t>
      </w:r>
    </w:p>
    <w:tbl>
      <w:tblPr>
        <w:tblStyle w:val="TableGrid"/>
        <w:tblW w:type="dxa" w:w="9360"/>
        <w:tblLayout w:type="fixed"/>
        <w:tblLook w:firstColumn="1" w:firstRow="1" w:lastColumn="0" w:lastRow="0" w:noHBand="0" w:noVBand="1" w:val="04A0"/>
        <w:tblInd w:w="120" w:type="dxa"/>
      </w:tblPr>
      <w:tblGrid>
        <w:gridCol w:w="1400"/>
        <w:gridCol w:w="2800"/>
        <w:gridCol w:w="1800"/>
        <w:gridCol w:w="3360"/>
      </w:tblGrid>
      <w:tr>
        <w:tc>
          <w:tcPr>
            <w:tcW w:type="dxa" w:w="14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Typ</w:t>
            </w:r>
          </w:p>
        </w:tc>
        <w:tc>
          <w:tcPr>
            <w:tcW w:type="dxa" w:w="28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Adresse</w:t>
            </w:r>
          </w:p>
        </w:tc>
        <w:tc>
          <w:tcPr>
            <w:tcW w:type="dxa" w:w="18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Passwort</w:t>
            </w:r>
          </w:p>
        </w:tc>
        <w:tc>
          <w:tcPr>
            <w:tcW w:type="dxa" w:w="336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Funktion / Zustellung</w:t>
            </w:r>
          </w:p>
        </w:tc>
      </w:tr>
      <w:tr>
        <w:tc>
          <w:tcPr>
            <w:tcW w:type="dxa" w:w="1400"/>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Postfach</w:t>
            </w:r>
          </w:p>
        </w:tc>
        <w:tc>
          <w:tcPr>
            <w:tcW w:type="dxa" w:w="280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info@ai-experts.network</w:t>
            </w:r>
          </w:p>
        </w:tc>
        <w:tc>
          <w:tcPr>
            <w:tcW w:type="dxa" w:w="1800"/>
            <w:vAlign w:val="center"/>
            <w:tcMar>
              <w:top w:w="80" w:type="dxa"/>
              <w:start w:w="120" w:type="dxa"/>
              <w:bottom w:w="80" w:type="dxa"/>
              <w:end w:w="120" w:type="dxa"/>
            </w:tcMar>
          </w:tcPr>
          <w:p>
            <w:pPr>
              <w:spacing w:before="0" w:after="0" w:line="259" w:lineRule="auto"/>
              <w:jc w:val="center"/>
            </w:pPr>
            <w:r>
              <w:rPr>
                <w:rFonts w:ascii="Calibri" w:hAnsi="Calibri"/>
                <w:b/>
                <w:color w:val="243447"/>
                <w:sz w:val="18"/>
              </w:rPr>
              <w:t>abc123</w:t>
            </w:r>
          </w:p>
        </w:tc>
        <w:tc>
          <w:tcPr>
            <w:tcW w:type="dxa" w:w="33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Zentrales Postfach. Empfängt zusätzlich alle Nachrichten an den Alias vorstand@.</w:t>
            </w:r>
          </w:p>
        </w:tc>
      </w:tr>
      <w:tr>
        <w:tc>
          <w:tcPr>
            <w:tcW w:type="dxa" w:w="1400"/>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Postfach</w:t>
            </w:r>
          </w:p>
        </w:tc>
        <w:tc>
          <w:tcPr>
            <w:tcW w:type="dxa" w:w="280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finanzen@ai-experts.network</w:t>
            </w:r>
          </w:p>
        </w:tc>
        <w:tc>
          <w:tcPr>
            <w:tcW w:type="dxa" w:w="1800"/>
            <w:vAlign w:val="center"/>
            <w:tcMar>
              <w:top w:w="80" w:type="dxa"/>
              <w:start w:w="120" w:type="dxa"/>
              <w:bottom w:w="80" w:type="dxa"/>
              <w:end w:w="120" w:type="dxa"/>
            </w:tcMar>
          </w:tcPr>
          <w:p>
            <w:pPr>
              <w:spacing w:before="0" w:after="0" w:line="259" w:lineRule="auto"/>
              <w:jc w:val="center"/>
            </w:pPr>
            <w:r>
              <w:rPr>
                <w:rFonts w:ascii="Calibri" w:hAnsi="Calibri"/>
                <w:b/>
                <w:color w:val="243447"/>
                <w:sz w:val="18"/>
              </w:rPr>
              <w:t>abc123</w:t>
            </w:r>
          </w:p>
        </w:tc>
        <w:tc>
          <w:tcPr>
            <w:tcW w:type="dxa" w:w="33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Eigenständiges Postfach. Aktive Weiterleitung an info@; Kopien bleiben im Finanz-Postfach gespeichert.</w:t>
            </w:r>
          </w:p>
        </w:tc>
      </w:tr>
      <w:tr>
        <w:tc>
          <w:tcPr>
            <w:tcW w:type="dxa" w:w="1400"/>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Alias</w:t>
            </w:r>
          </w:p>
        </w:tc>
        <w:tc>
          <w:tcPr>
            <w:tcW w:type="dxa" w:w="280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vorstand@ai-experts.network</w:t>
            </w:r>
          </w:p>
        </w:tc>
        <w:tc>
          <w:tcPr>
            <w:tcW w:type="dxa" w:w="18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Kein eigenes Passwort</w:t>
            </w:r>
          </w:p>
        </w:tc>
        <w:tc>
          <w:tcPr>
            <w:tcW w:type="dxa" w:w="33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Alias von info@. Kein eigener Login oder Posteingang; Versand über die Absenderauswahl im info@-Webmail.</w:t>
            </w:r>
          </w:p>
        </w:tc>
      </w:tr>
    </w:tbl>
    <w:p>
      <w:pPr>
        <w:spacing w:before="120" w:after="200"/>
      </w:pPr>
      <w:r>
        <w:rPr>
          <w:rFonts w:ascii="Calibri" w:hAnsi="Calibri"/>
          <w:b/>
          <w:color w:val="1F4D78"/>
          <w:sz w:val="19"/>
        </w:rPr>
        <w:t xml:space="preserve">Hinweis zum Versand als vorstand@: </w:t>
      </w:r>
      <w:r>
        <w:rPr>
          <w:rFonts w:ascii="Calibri" w:hAnsi="Calibri"/>
          <w:color w:val="243447"/>
          <w:sz w:val="19"/>
        </w:rPr>
        <w:t>Im Postfach info@ eine neue Nachricht öffnen, im Feld „Von“ den Alias vorstand@ai-experts.network auswählen und anschließend senden.</w:t>
      </w:r>
    </w:p>
    <w:p>
      <w:pPr>
        <w:pStyle w:val="Heading1"/>
      </w:pPr>
      <w:r>
        <w:t>Laufzeiten und nächste Verlängerungen</w:t>
      </w:r>
    </w:p>
    <w:tbl>
      <w:tblPr>
        <w:tblStyle w:val="TableGrid"/>
        <w:tblW w:type="dxa" w:w="9360"/>
        <w:tblLayout w:type="fixed"/>
        <w:tblLook w:firstColumn="1" w:firstRow="1" w:lastColumn="0" w:lastRow="0" w:noHBand="0" w:noVBand="1" w:val="04A0"/>
        <w:tblInd w:w="120" w:type="dxa"/>
      </w:tblPr>
      <w:tblGrid>
        <w:gridCol w:w="2300"/>
        <w:gridCol w:w="1900"/>
        <w:gridCol w:w="1900"/>
        <w:gridCol w:w="3260"/>
      </w:tblGrid>
      <w:tr>
        <w:tc>
          <w:tcPr>
            <w:tcW w:type="dxa" w:w="23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Leistung</w:t>
            </w:r>
          </w:p>
        </w:tc>
        <w:tc>
          <w:tcPr>
            <w:tcW w:type="dxa" w:w="19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Bezahlt / abgedeckt bis</w:t>
            </w:r>
          </w:p>
        </w:tc>
        <w:tc>
          <w:tcPr>
            <w:tcW w:type="dxa" w:w="190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Nächste Verlängerung</w:t>
            </w:r>
          </w:p>
        </w:tc>
        <w:tc>
          <w:tcPr>
            <w:tcW w:type="dxa" w:w="3260"/>
            <w:shd w:fill="F2F4F7"/>
            <w:vAlign w:val="center"/>
            <w:tcMar>
              <w:top w:w="80" w:type="dxa"/>
              <w:start w:w="120" w:type="dxa"/>
              <w:bottom w:w="80" w:type="dxa"/>
              <w:end w:w="120" w:type="dxa"/>
            </w:tcMar>
          </w:tcPr>
          <w:p>
            <w:pPr>
              <w:spacing w:before="0" w:after="0" w:line="259" w:lineRule="auto"/>
              <w:jc w:val="left"/>
            </w:pPr>
            <w:r>
              <w:rPr>
                <w:rFonts w:ascii="Calibri" w:hAnsi="Calibri"/>
                <w:b/>
                <w:color w:val="1F4D78"/>
                <w:sz w:val="18"/>
              </w:rPr>
              <w:t>Preis laut hPanel</w:t>
            </w:r>
          </w:p>
        </w:tc>
      </w:tr>
      <w:tr>
        <w:tc>
          <w:tcPr>
            <w:tcW w:type="dxa" w:w="2300"/>
            <w:vAlign w:val="center"/>
            <w:tcMar>
              <w:top w:w="80" w:type="dxa"/>
              <w:start w:w="120" w:type="dxa"/>
              <w:bottom w:w="80" w:type="dxa"/>
              <w:end w:w="120" w:type="dxa"/>
            </w:tcMar>
          </w:tcPr>
          <w:p>
            <w:pPr>
              <w:spacing w:before="0" w:after="0" w:line="259" w:lineRule="auto"/>
              <w:jc w:val="left"/>
            </w:pPr>
            <w:r>
              <w:rPr>
                <w:rFonts w:ascii="Calibri" w:hAnsi="Calibri"/>
                <w:b/>
                <w:color w:val="243447"/>
                <w:sz w:val="18"/>
              </w:rPr>
              <w:t>.NETWORK Domain</w:t>
              <w:br/>
              <w:t>ai-experts.network</w:t>
            </w:r>
          </w:p>
        </w:tc>
        <w:tc>
          <w:tcPr>
            <w:tcW w:type="dxa" w:w="19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14.03.2027</w:t>
            </w:r>
          </w:p>
        </w:tc>
        <w:tc>
          <w:tcPr>
            <w:tcW w:type="dxa" w:w="19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14.03.2027</w:t>
            </w:r>
          </w:p>
        </w:tc>
        <w:tc>
          <w:tcPr>
            <w:tcW w:type="dxa" w:w="32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40,99 USD zzgl. MwSt.</w:t>
              <w:br/>
              <w:t>ca. 48,78 USD inkl. 19 % MwSt.</w:t>
            </w:r>
          </w:p>
        </w:tc>
      </w:tr>
      <w:tr>
        <w:tc>
          <w:tcPr>
            <w:tcW w:type="dxa" w:w="2300"/>
            <w:vAlign w:val="center"/>
            <w:tcMar>
              <w:top w:w="80" w:type="dxa"/>
              <w:start w:w="120" w:type="dxa"/>
              <w:bottom w:w="80" w:type="dxa"/>
              <w:end w:w="120" w:type="dxa"/>
            </w:tcMar>
          </w:tcPr>
          <w:p>
            <w:pPr>
              <w:spacing w:before="0" w:after="0" w:line="259" w:lineRule="auto"/>
              <w:jc w:val="left"/>
            </w:pPr>
            <w:r>
              <w:rPr>
                <w:rFonts w:ascii="Calibri" w:hAnsi="Calibri"/>
                <w:b/>
                <w:color w:val="243447"/>
                <w:sz w:val="18"/>
              </w:rPr>
              <w:t>Premium Web Hosting</w:t>
            </w:r>
          </w:p>
        </w:tc>
        <w:tc>
          <w:tcPr>
            <w:tcW w:type="dxa" w:w="19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07.08.2027</w:t>
            </w:r>
          </w:p>
        </w:tc>
        <w:tc>
          <w:tcPr>
            <w:tcW w:type="dxa" w:w="19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07.08.2027</w:t>
            </w:r>
          </w:p>
        </w:tc>
        <w:tc>
          <w:tcPr>
            <w:tcW w:type="dxa" w:w="32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131,88 USD zzgl. MwSt.</w:t>
              <w:br/>
              <w:t>ca. 156,94 USD inkl. 19 % MwSt.</w:t>
            </w:r>
          </w:p>
        </w:tc>
      </w:tr>
      <w:tr>
        <w:tc>
          <w:tcPr>
            <w:tcW w:type="dxa" w:w="2300"/>
            <w:vAlign w:val="center"/>
            <w:tcMar>
              <w:top w:w="80" w:type="dxa"/>
              <w:start w:w="120" w:type="dxa"/>
              <w:bottom w:w="80" w:type="dxa"/>
              <w:end w:w="120" w:type="dxa"/>
            </w:tcMar>
          </w:tcPr>
          <w:p>
            <w:pPr>
              <w:spacing w:before="0" w:after="0" w:line="259" w:lineRule="auto"/>
              <w:jc w:val="left"/>
            </w:pPr>
            <w:r>
              <w:rPr>
                <w:rFonts w:ascii="Calibri" w:hAnsi="Calibri"/>
                <w:b/>
                <w:color w:val="243447"/>
                <w:sz w:val="18"/>
              </w:rPr>
              <w:t>Starter Business Email Trial</w:t>
              <w:br/>
              <w:t>2 Postfächer + Alias</w:t>
            </w:r>
          </w:p>
        </w:tc>
        <w:tc>
          <w:tcPr>
            <w:tcW w:type="dxa" w:w="19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26.08.2027</w:t>
            </w:r>
          </w:p>
        </w:tc>
        <w:tc>
          <w:tcPr>
            <w:tcW w:type="dxa" w:w="1900"/>
            <w:vAlign w:val="center"/>
            <w:tcMar>
              <w:top w:w="80" w:type="dxa"/>
              <w:start w:w="120" w:type="dxa"/>
              <w:bottom w:w="80" w:type="dxa"/>
              <w:end w:w="120" w:type="dxa"/>
            </w:tcMar>
          </w:tcPr>
          <w:p>
            <w:pPr>
              <w:spacing w:before="0" w:after="0" w:line="259" w:lineRule="auto"/>
              <w:jc w:val="center"/>
            </w:pPr>
            <w:r>
              <w:rPr>
                <w:rFonts w:ascii="Calibri" w:hAnsi="Calibri"/>
                <w:b w:val="0"/>
                <w:color w:val="243447"/>
                <w:sz w:val="18"/>
              </w:rPr>
              <w:t>26.08.2027</w:t>
            </w:r>
          </w:p>
        </w:tc>
        <w:tc>
          <w:tcPr>
            <w:tcW w:type="dxa" w:w="3260"/>
            <w:vAlign w:val="center"/>
            <w:tcMar>
              <w:top w:w="80" w:type="dxa"/>
              <w:start w:w="120" w:type="dxa"/>
              <w:bottom w:w="80" w:type="dxa"/>
              <w:end w:w="120" w:type="dxa"/>
            </w:tcMar>
          </w:tcPr>
          <w:p>
            <w:pPr>
              <w:spacing w:before="0" w:after="0" w:line="259" w:lineRule="auto"/>
              <w:jc w:val="left"/>
            </w:pPr>
            <w:r>
              <w:rPr>
                <w:rFonts w:ascii="Calibri" w:hAnsi="Calibri"/>
                <w:b w:val="0"/>
                <w:color w:val="243447"/>
                <w:sz w:val="18"/>
              </w:rPr>
              <w:t>14,16 USD zzgl. MwSt.</w:t>
              <w:br/>
              <w:t>ca. 16,85 USD inkl. 19 % MwSt.</w:t>
            </w:r>
          </w:p>
        </w:tc>
      </w:tr>
    </w:tbl>
    <w:p>
      <w:pPr>
        <w:pStyle w:val="Heading1"/>
      </w:pPr>
      <w:r>
        <w:t>Kostenübersicht 2027</w:t>
      </w:r>
    </w:p>
    <w:p>
      <w:pPr>
        <w:spacing w:before="0" w:after="160"/>
        <w:ind w:left="216" w:right="216"/>
        <w:shd w:fill="EEF4FA"/>
      </w:pPr>
      <w:r>
        <w:rPr>
          <w:rFonts w:ascii="Calibri" w:hAnsi="Calibri"/>
          <w:b/>
          <w:color w:val="1F4D78"/>
          <w:sz w:val="22"/>
        </w:rPr>
        <w:t xml:space="preserve">Domain + Hosting: </w:t>
      </w:r>
      <w:r>
        <w:rPr>
          <w:rFonts w:ascii="Calibri" w:hAnsi="Calibri"/>
          <w:color w:val="243447"/>
          <w:sz w:val="22"/>
        </w:rPr>
        <w:t>172,87 USD zzgl. MwSt. (ca. 205,72 USD inkl. 19 % MwSt.)</w:t>
        <w:br/>
      </w:r>
      <w:r>
        <w:rPr>
          <w:rFonts w:ascii="Calibri" w:hAnsi="Calibri"/>
          <w:b/>
          <w:color w:val="1F4D78"/>
          <w:sz w:val="22"/>
        </w:rPr>
        <w:t xml:space="preserve">Alle drei Positionen zusammen: </w:t>
      </w:r>
      <w:r>
        <w:rPr>
          <w:rFonts w:ascii="Calibri" w:hAnsi="Calibri"/>
          <w:color w:val="243447"/>
          <w:sz w:val="22"/>
        </w:rPr>
        <w:t>187,03 USD zzgl. MwSt. (ca. 222,57 USD inkl. 19 % MwSt.)</w:t>
      </w:r>
    </w:p>
    <w:p>
      <w:pPr>
        <w:pStyle w:val="Heading2"/>
      </w:pPr>
      <w:r>
        <w:t>Wichtige Hinweise</w:t>
      </w:r>
    </w:p>
    <w:p>
      <w:pPr>
        <w:spacing w:before="0" w:after="80"/>
        <w:ind w:left="259" w:hanging="259"/>
      </w:pPr>
      <w:r>
        <w:rPr>
          <w:rFonts w:ascii="Calibri" w:hAnsi="Calibri"/>
          <w:b/>
          <w:color w:val="1F4D78"/>
          <w:sz w:val="20"/>
        </w:rPr>
        <w:t xml:space="preserve">Unterschiedliche Termine: </w:t>
      </w:r>
      <w:r>
        <w:rPr>
          <w:rFonts w:ascii="Calibri" w:hAnsi="Calibri"/>
          <w:color w:val="243447"/>
          <w:sz w:val="20"/>
        </w:rPr>
        <w:t>Die Domain wird bereits am 14. März 2027 fällig; Hosting und E-Mail folgen im August 2027.</w:t>
      </w:r>
    </w:p>
    <w:p>
      <w:pPr>
        <w:spacing w:before="0" w:after="80"/>
        <w:ind w:left="259" w:hanging="259"/>
      </w:pPr>
      <w:r>
        <w:rPr>
          <w:rFonts w:ascii="Calibri" w:hAnsi="Calibri"/>
          <w:b/>
          <w:color w:val="1F4D78"/>
          <w:sz w:val="20"/>
        </w:rPr>
        <w:t xml:space="preserve">E-Mail-Preis: </w:t>
      </w:r>
      <w:r>
        <w:rPr>
          <w:rFonts w:ascii="Calibri" w:hAnsi="Calibri"/>
          <w:color w:val="243447"/>
          <w:sz w:val="20"/>
        </w:rPr>
        <w:t>Die aktuelle Vertragsübersicht nennt für die nächste Verlängerung 14,16 USD. Auf der Tarifseite wird zugleich ein späterer Standardpreis von 1,59 USD je Postfach und Monat genannt; bei zwei Postfächern wären das 38,16 USD pro Jahr zzgl. MwSt. Der Preis sollte kurz vor der Verlängerung erneut geprüft werden.</w:t>
      </w:r>
    </w:p>
    <w:p>
      <w:pPr>
        <w:spacing w:before="0" w:after="80"/>
        <w:ind w:left="259" w:hanging="259"/>
      </w:pPr>
      <w:r>
        <w:rPr>
          <w:rFonts w:ascii="Calibri" w:hAnsi="Calibri"/>
          <w:b/>
          <w:color w:val="1F4D78"/>
          <w:sz w:val="20"/>
        </w:rPr>
        <w:t xml:space="preserve">Steuern und Wechselkurs: </w:t>
      </w:r>
      <w:r>
        <w:rPr>
          <w:rFonts w:ascii="Calibri" w:hAnsi="Calibri"/>
          <w:color w:val="243447"/>
          <w:sz w:val="20"/>
        </w:rPr>
        <w:t>Die Beträge inklusive 19 % MwSt. sind Rechenwerte. Der endgültige Rechnungsbetrag kann sich durch Steuerbehandlung oder Wechselkurs ändern.</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
      <w:rPr>
        <w:rFonts w:ascii="Calibri" w:hAnsi="Calibri"/>
        <w:color w:val="667085"/>
        <w:sz w:val="16"/>
      </w:rPr>
      <w:t>Stand: 26. August 2026 | Quellen: Hostinger hPanel &gt; Billing &gt; Subscriptions; Checkout-Screenshots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7085"/>
        <w:sz w:val="17"/>
      </w:rPr>
      <w:t>AI Experts Network | Vertragsübersicht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Hostinger Vertrags- und Verlängerungsübersicht</dc:title>
  <dc:subject>ai-experts.network: Domain, Hosting und E-Mail</dc:subject>
  <dc:creator>AI Experts Network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