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colors3.xml" ContentType="application/vnd.openxmlformats-officedocument.drawingml.diagramColors+xml"/>
  <Override PartName="/word/diagrams/colors4.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ata3.xml" ContentType="application/vnd.openxmlformats-officedocument.drawingml.diagramData+xml"/>
  <Override PartName="/word/diagrams/data4.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drawing3.xml" ContentType="application/vnd.ms-office.drawingml.diagramDrawing+xml"/>
  <Override PartName="/word/diagrams/drawing4.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iagrams/quickStyle3.xml" ContentType="application/vnd.openxmlformats-officedocument.drawingml.diagramStyle+xml"/>
  <Override PartName="/word/diagrams/quickStyle4.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3BBFC0A">
      <w:pPr>
        <w:jc w:val="center"/>
        <w:rPr>
          <w:rStyle w:val="13"/>
          <w:rFonts w:hint="eastAsia" w:cstheme="minorBidi"/>
          <w:b/>
          <w:bCs/>
          <w:color w:val="1A1C1E"/>
          <w:kern w:val="44"/>
          <w:sz w:val="84"/>
          <w:szCs w:val="84"/>
          <w:shd w:val="clear" w:color="auto" w:fill="FFFFFF"/>
          <w:lang w:val="en-US" w:eastAsia="zh-CN" w:bidi="ar-SA"/>
        </w:rPr>
      </w:pPr>
      <w:r>
        <w:rPr>
          <w:rFonts w:ascii="微软雅黑" w:hAnsi="微软雅黑" w:eastAsia="微软雅黑" w:cs="微软雅黑"/>
        </w:rPr>
        <w:drawing>
          <wp:anchor distT="0" distB="0" distL="114300" distR="114300" simplePos="0" relativeHeight="251659264" behindDoc="1" locked="0" layoutInCell="1" allowOverlap="1">
            <wp:simplePos x="0" y="0"/>
            <wp:positionH relativeFrom="column">
              <wp:posOffset>-1136650</wp:posOffset>
            </wp:positionH>
            <wp:positionV relativeFrom="paragraph">
              <wp:posOffset>-909955</wp:posOffset>
            </wp:positionV>
            <wp:extent cx="7583170" cy="10726420"/>
            <wp:effectExtent l="0" t="0" r="11430" b="1778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7583170" cy="10726420"/>
                    </a:xfrm>
                    <a:prstGeom prst="rect">
                      <a:avLst/>
                    </a:prstGeom>
                  </pic:spPr>
                </pic:pic>
              </a:graphicData>
            </a:graphic>
          </wp:anchor>
        </w:drawing>
      </w:r>
    </w:p>
    <w:p w14:paraId="5FF81370">
      <w:pPr>
        <w:jc w:val="center"/>
        <w:rPr>
          <w:rStyle w:val="13"/>
          <w:rFonts w:hint="eastAsia" w:cstheme="minorBidi"/>
          <w:b/>
          <w:bCs/>
          <w:color w:val="1A1C1E"/>
          <w:kern w:val="44"/>
          <w:sz w:val="84"/>
          <w:szCs w:val="84"/>
          <w:shd w:val="clear" w:color="auto" w:fill="FFFFFF"/>
          <w:lang w:val="en-US" w:eastAsia="zh-CN" w:bidi="ar-SA"/>
        </w:rPr>
      </w:pPr>
      <w:r>
        <w:rPr>
          <w:rStyle w:val="13"/>
          <w:rFonts w:hint="eastAsia" w:cstheme="minorBidi"/>
          <w:b/>
          <w:bCs/>
          <w:color w:val="1A1C1E"/>
          <w:kern w:val="44"/>
          <w:sz w:val="84"/>
          <w:szCs w:val="84"/>
          <w:shd w:val="clear" w:color="auto" w:fill="FFFFFF"/>
          <w:lang w:val="en-US" w:eastAsia="zh-CN" w:bidi="ar-SA"/>
        </w:rPr>
        <w:t>商业计划书</w:t>
      </w:r>
    </w:p>
    <w:p w14:paraId="48565878">
      <w:pPr>
        <w:jc w:val="center"/>
        <w:rPr>
          <w:rStyle w:val="13"/>
          <w:rFonts w:hint="eastAsia" w:cstheme="minorBidi"/>
          <w:b/>
          <w:bCs/>
          <w:color w:val="1A1C1E"/>
          <w:kern w:val="44"/>
          <w:sz w:val="44"/>
          <w:szCs w:val="44"/>
          <w:shd w:val="clear" w:color="auto" w:fill="FFFFFF"/>
          <w:lang w:val="en-US" w:eastAsia="zh-CN" w:bidi="ar-SA"/>
        </w:rPr>
      </w:pPr>
      <w:r>
        <w:rPr>
          <w:rStyle w:val="13"/>
          <w:rFonts w:hint="eastAsia" w:cstheme="minorBidi"/>
          <w:b/>
          <w:bCs/>
          <w:color w:val="1A1C1E"/>
          <w:kern w:val="44"/>
          <w:sz w:val="44"/>
          <w:szCs w:val="44"/>
          <w:shd w:val="clear" w:color="auto" w:fill="FFFFFF"/>
          <w:lang w:val="en-US" w:eastAsia="zh-CN" w:bidi="ar-SA"/>
        </w:rPr>
        <w:t>肌智管家</w:t>
      </w:r>
    </w:p>
    <w:p w14:paraId="7EDB8C6E">
      <w:pPr>
        <w:jc w:val="center"/>
        <w:rPr>
          <w:rStyle w:val="13"/>
          <w:rFonts w:hint="eastAsia" w:cstheme="minorBidi"/>
          <w:b/>
          <w:bCs/>
          <w:color w:val="1A1C1E"/>
          <w:kern w:val="44"/>
          <w:sz w:val="32"/>
          <w:szCs w:val="32"/>
          <w:shd w:val="clear" w:color="auto" w:fill="FFFFFF"/>
          <w:lang w:val="en-US" w:eastAsia="zh-CN" w:bidi="ar-SA"/>
        </w:rPr>
      </w:pPr>
      <w:r>
        <w:rPr>
          <w:rStyle w:val="13"/>
          <w:rFonts w:hint="default" w:cstheme="minorBidi"/>
          <w:b/>
          <w:bCs/>
          <w:color w:val="1A1C1E"/>
          <w:kern w:val="44"/>
          <w:sz w:val="32"/>
          <w:szCs w:val="32"/>
          <w:shd w:val="clear" w:color="auto" w:fill="FFFFFF"/>
          <w:lang w:val="en-US" w:eastAsia="zh-CN" w:bidi="ar-SA"/>
        </w:rPr>
        <w:t>--</w:t>
      </w:r>
      <w:r>
        <w:rPr>
          <w:rStyle w:val="13"/>
          <w:rFonts w:hint="eastAsia" w:cstheme="minorBidi"/>
          <w:b/>
          <w:bCs/>
          <w:color w:val="1A1C1E"/>
          <w:kern w:val="44"/>
          <w:sz w:val="32"/>
          <w:szCs w:val="32"/>
          <w:shd w:val="clear" w:color="auto" w:fill="FFFFFF"/>
          <w:lang w:val="en-US" w:eastAsia="zh-CN" w:bidi="ar-SA"/>
        </w:rPr>
        <w:t>一款AI驱动的全周期智能护肤与皮肤健康管理平台</w:t>
      </w:r>
    </w:p>
    <w:p w14:paraId="3D2C1C29">
      <w:pPr>
        <w:keepNext w:val="0"/>
        <w:keepLines w:val="0"/>
        <w:widowControl/>
        <w:suppressLineNumbers w:val="0"/>
        <w:jc w:val="left"/>
        <w:rPr>
          <w:rFonts w:ascii="宋体" w:hAnsi="宋体" w:eastAsia="宋体" w:cs="宋体"/>
          <w:color w:val="auto"/>
          <w:kern w:val="0"/>
          <w:sz w:val="31"/>
          <w:szCs w:val="31"/>
          <w:lang w:val="en-US" w:eastAsia="zh-CN" w:bidi="ar"/>
        </w:rPr>
      </w:pPr>
    </w:p>
    <w:p w14:paraId="65855514">
      <w:pPr>
        <w:keepNext w:val="0"/>
        <w:keepLines w:val="0"/>
        <w:widowControl/>
        <w:suppressLineNumbers w:val="0"/>
        <w:jc w:val="left"/>
        <w:rPr>
          <w:rFonts w:ascii="宋体" w:hAnsi="宋体" w:eastAsia="宋体" w:cs="宋体"/>
          <w:color w:val="auto"/>
          <w:kern w:val="0"/>
          <w:sz w:val="31"/>
          <w:szCs w:val="31"/>
          <w:lang w:val="en-US" w:eastAsia="zh-CN" w:bidi="ar"/>
        </w:rPr>
      </w:pPr>
    </w:p>
    <w:p w14:paraId="415E6804">
      <w:pPr>
        <w:keepNext w:val="0"/>
        <w:keepLines w:val="0"/>
        <w:widowControl/>
        <w:suppressLineNumbers w:val="0"/>
        <w:jc w:val="left"/>
        <w:rPr>
          <w:rFonts w:ascii="宋体" w:hAnsi="宋体" w:eastAsia="宋体" w:cs="宋体"/>
          <w:color w:val="auto"/>
          <w:kern w:val="0"/>
          <w:sz w:val="31"/>
          <w:szCs w:val="31"/>
          <w:lang w:val="en-US" w:eastAsia="zh-CN" w:bidi="ar"/>
        </w:rPr>
      </w:pPr>
    </w:p>
    <w:p w14:paraId="1E0F3DF6">
      <w:pPr>
        <w:keepNext w:val="0"/>
        <w:keepLines w:val="0"/>
        <w:widowControl/>
        <w:suppressLineNumbers w:val="0"/>
        <w:jc w:val="left"/>
        <w:rPr>
          <w:rFonts w:ascii="宋体" w:hAnsi="宋体" w:eastAsia="宋体" w:cs="宋体"/>
          <w:color w:val="auto"/>
          <w:kern w:val="0"/>
          <w:sz w:val="31"/>
          <w:szCs w:val="31"/>
          <w:lang w:val="en-US" w:eastAsia="zh-CN" w:bidi="ar"/>
        </w:rPr>
      </w:pPr>
    </w:p>
    <w:p w14:paraId="6E79E8C3">
      <w:pPr>
        <w:keepNext w:val="0"/>
        <w:keepLines w:val="0"/>
        <w:widowControl/>
        <w:suppressLineNumbers w:val="0"/>
        <w:jc w:val="left"/>
        <w:rPr>
          <w:rFonts w:ascii="宋体" w:hAnsi="宋体" w:eastAsia="宋体" w:cs="宋体"/>
          <w:color w:val="auto"/>
          <w:kern w:val="0"/>
          <w:sz w:val="31"/>
          <w:szCs w:val="31"/>
          <w:lang w:val="en-US" w:eastAsia="zh-CN" w:bidi="ar"/>
        </w:rPr>
      </w:pPr>
    </w:p>
    <w:p w14:paraId="01B68496">
      <w:pPr>
        <w:keepNext w:val="0"/>
        <w:keepLines w:val="0"/>
        <w:widowControl/>
        <w:suppressLineNumbers w:val="0"/>
        <w:jc w:val="center"/>
        <w:rPr>
          <w:b/>
          <w:bCs/>
          <w:color w:val="auto"/>
        </w:rPr>
      </w:pPr>
      <w:r>
        <w:rPr>
          <w:rFonts w:ascii="宋体" w:hAnsi="宋体" w:eastAsia="宋体" w:cs="宋体"/>
          <w:b/>
          <w:bCs/>
          <w:color w:val="auto"/>
          <w:kern w:val="0"/>
          <w:sz w:val="31"/>
          <w:szCs w:val="31"/>
          <w:lang w:val="en-US" w:eastAsia="zh-CN" w:bidi="ar"/>
        </w:rPr>
        <w:t>学校名称：华南师范大学</w:t>
      </w:r>
    </w:p>
    <w:p w14:paraId="02A86D23">
      <w:pPr>
        <w:keepNext w:val="0"/>
        <w:keepLines w:val="0"/>
        <w:widowControl/>
        <w:suppressLineNumbers w:val="0"/>
        <w:jc w:val="center"/>
        <w:rPr>
          <w:rFonts w:hint="default"/>
          <w:b/>
          <w:bCs/>
          <w:color w:val="auto"/>
          <w:lang w:val="en-US"/>
        </w:rPr>
      </w:pPr>
      <w:r>
        <w:rPr>
          <w:rFonts w:ascii="宋体" w:hAnsi="宋体" w:eastAsia="宋体" w:cs="宋体"/>
          <w:b/>
          <w:bCs/>
          <w:color w:val="auto"/>
          <w:kern w:val="0"/>
          <w:sz w:val="31"/>
          <w:szCs w:val="31"/>
          <w:lang w:val="en-US" w:eastAsia="zh-CN" w:bidi="ar"/>
        </w:rPr>
        <w:t>项目</w:t>
      </w:r>
      <w:r>
        <w:rPr>
          <w:rFonts w:hint="eastAsia" w:ascii="宋体" w:hAnsi="宋体" w:eastAsia="宋体" w:cs="宋体"/>
          <w:b/>
          <w:bCs/>
          <w:color w:val="auto"/>
          <w:kern w:val="0"/>
          <w:sz w:val="31"/>
          <w:szCs w:val="31"/>
          <w:lang w:val="en-US" w:eastAsia="zh-CN" w:bidi="ar"/>
        </w:rPr>
        <w:t>成员</w:t>
      </w:r>
      <w:r>
        <w:rPr>
          <w:rFonts w:ascii="宋体" w:hAnsi="宋体" w:eastAsia="宋体" w:cs="宋体"/>
          <w:b/>
          <w:bCs/>
          <w:color w:val="auto"/>
          <w:kern w:val="0"/>
          <w:sz w:val="31"/>
          <w:szCs w:val="31"/>
          <w:lang w:val="en-US" w:eastAsia="zh-CN" w:bidi="ar"/>
        </w:rPr>
        <w:t>：张雅婷</w:t>
      </w:r>
      <w:r>
        <w:rPr>
          <w:rFonts w:hint="eastAsia" w:ascii="宋体" w:hAnsi="宋体" w:eastAsia="宋体" w:cs="宋体"/>
          <w:b/>
          <w:bCs/>
          <w:color w:val="auto"/>
          <w:kern w:val="0"/>
          <w:sz w:val="31"/>
          <w:szCs w:val="31"/>
          <w:lang w:val="en-US" w:eastAsia="zh-CN" w:bidi="ar"/>
        </w:rPr>
        <w:t>，陈佳琪，谢晓璐，唐玥</w:t>
      </w:r>
    </w:p>
    <w:p w14:paraId="0D7369A0">
      <w:pPr>
        <w:keepNext w:val="0"/>
        <w:keepLines w:val="0"/>
        <w:widowControl/>
        <w:suppressLineNumbers w:val="0"/>
        <w:jc w:val="center"/>
        <w:rPr>
          <w:rFonts w:hint="default"/>
          <w:b/>
          <w:bCs/>
          <w:color w:val="auto"/>
          <w:lang w:val="en-US"/>
        </w:rPr>
      </w:pPr>
      <w:r>
        <w:rPr>
          <w:rFonts w:ascii="宋体" w:hAnsi="宋体" w:eastAsia="宋体" w:cs="宋体"/>
          <w:b/>
          <w:bCs/>
          <w:color w:val="auto"/>
          <w:kern w:val="0"/>
          <w:sz w:val="31"/>
          <w:szCs w:val="31"/>
          <w:lang w:val="en-US" w:eastAsia="zh-CN" w:bidi="ar"/>
        </w:rPr>
        <w:t>辅导老师：</w:t>
      </w:r>
      <w:r>
        <w:rPr>
          <w:rFonts w:hint="eastAsia" w:ascii="宋体" w:hAnsi="宋体" w:eastAsia="宋体" w:cs="宋体"/>
          <w:b/>
          <w:bCs/>
          <w:color w:val="auto"/>
          <w:kern w:val="0"/>
          <w:sz w:val="31"/>
          <w:szCs w:val="31"/>
          <w:lang w:val="en-US" w:eastAsia="zh-CN" w:bidi="ar"/>
        </w:rPr>
        <w:t>曹阳</w:t>
      </w:r>
    </w:p>
    <w:p w14:paraId="5C2772D8">
      <w:pPr>
        <w:jc w:val="center"/>
        <w:rPr>
          <w:rStyle w:val="13"/>
          <w:rFonts w:hint="eastAsia" w:cstheme="minorBidi"/>
          <w:b/>
          <w:bCs/>
          <w:color w:val="1A1C1E"/>
          <w:kern w:val="44"/>
          <w:sz w:val="32"/>
          <w:szCs w:val="32"/>
          <w:shd w:val="clear" w:color="auto" w:fill="FFFFFF"/>
          <w:lang w:val="en-US" w:eastAsia="zh-CN" w:bidi="ar-SA"/>
        </w:rPr>
      </w:pPr>
    </w:p>
    <w:p w14:paraId="7CAFD20E">
      <w:pPr>
        <w:jc w:val="center"/>
        <w:rPr>
          <w:rStyle w:val="13"/>
          <w:rFonts w:hint="default" w:cstheme="minorBidi"/>
          <w:b/>
          <w:bCs/>
          <w:color w:val="1A1C1E"/>
          <w:kern w:val="44"/>
          <w:sz w:val="32"/>
          <w:szCs w:val="32"/>
          <w:shd w:val="clear" w:color="auto" w:fill="FFFFFF"/>
          <w:lang w:val="en-US" w:eastAsia="zh-CN" w:bidi="ar-SA"/>
        </w:rPr>
      </w:pPr>
    </w:p>
    <w:p w14:paraId="5D17A3EE">
      <w:pPr>
        <w:rPr>
          <w:rStyle w:val="13"/>
          <w:rFonts w:hint="eastAsia" w:cstheme="minorBidi"/>
          <w:b/>
          <w:bCs/>
          <w:color w:val="1A1C1E"/>
          <w:kern w:val="44"/>
          <w:sz w:val="32"/>
          <w:szCs w:val="32"/>
          <w:shd w:val="clear" w:color="auto" w:fill="FFFFFF"/>
          <w:lang w:val="en-US" w:eastAsia="zh-CN" w:bidi="ar-SA"/>
        </w:rPr>
      </w:pPr>
      <w:r>
        <w:rPr>
          <w:rStyle w:val="13"/>
          <w:rFonts w:hint="eastAsia" w:cstheme="minorBidi"/>
          <w:b/>
          <w:bCs/>
          <w:color w:val="1A1C1E"/>
          <w:kern w:val="44"/>
          <w:sz w:val="32"/>
          <w:szCs w:val="32"/>
          <w:shd w:val="clear" w:color="auto" w:fill="FFFFFF"/>
          <w:lang w:val="en-US" w:eastAsia="zh-CN" w:bidi="ar-SA"/>
        </w:rPr>
        <w:br w:type="page"/>
      </w:r>
    </w:p>
    <w:p w14:paraId="102248E0">
      <w:pPr>
        <w:pStyle w:val="12"/>
        <w:numPr>
          <w:ilvl w:val="0"/>
          <w:numId w:val="0"/>
        </w:numPr>
        <w:ind w:leftChars="0"/>
        <w:jc w:val="center"/>
        <w:rPr>
          <w:rStyle w:val="13"/>
          <w:rFonts w:hint="default" w:asciiTheme="minorHAnsi" w:hAnsiTheme="minorHAnsi" w:eastAsiaTheme="minorEastAsia" w:cstheme="minorBidi"/>
          <w:b/>
          <w:bCs/>
          <w:color w:val="1A1C1E"/>
          <w:kern w:val="44"/>
          <w:sz w:val="32"/>
          <w:szCs w:val="32"/>
          <w:shd w:val="clear" w:color="auto" w:fill="FFFFFF"/>
          <w:lang w:val="en-US" w:eastAsia="zh-CN" w:bidi="ar-SA"/>
        </w:rPr>
      </w:pPr>
      <w:r>
        <w:rPr>
          <w:rStyle w:val="13"/>
          <w:rFonts w:hint="eastAsia" w:cstheme="minorBidi"/>
          <w:b/>
          <w:bCs/>
          <w:color w:val="1A1C1E"/>
          <w:kern w:val="44"/>
          <w:sz w:val="32"/>
          <w:szCs w:val="32"/>
          <w:shd w:val="clear" w:color="auto" w:fill="FFFFFF"/>
          <w:lang w:val="en-US" w:eastAsia="zh-CN" w:bidi="ar-SA"/>
        </w:rPr>
        <w:t>1.0项目综述</w:t>
      </w:r>
    </w:p>
    <w:p w14:paraId="2707E135">
      <w:pPr>
        <w:rPr>
          <w:b/>
          <w:bCs/>
          <w:sz w:val="28"/>
          <w:szCs w:val="28"/>
        </w:rPr>
      </w:pPr>
      <w:r>
        <w:rPr>
          <w:rFonts w:hint="eastAsia"/>
          <w:b/>
          <w:bCs/>
          <w:sz w:val="28"/>
          <w:szCs w:val="28"/>
        </w:rPr>
        <w:t>1.1</w:t>
      </w:r>
      <w:r>
        <w:rPr>
          <w:b/>
          <w:bCs/>
          <w:sz w:val="28"/>
          <w:szCs w:val="28"/>
        </w:rPr>
        <w:t>项目简介</w:t>
      </w:r>
    </w:p>
    <w:p w14:paraId="2642B8E0">
      <w:pPr>
        <w:ind w:firstLine="420" w:firstLineChars="0"/>
      </w:pPr>
      <w:r>
        <w:rPr>
          <w:rFonts w:hint="eastAsia"/>
        </w:rPr>
        <w:t>肌智管家</w:t>
      </w:r>
      <w:r>
        <w:t>是一款面向</w:t>
      </w:r>
      <w:r>
        <w:rPr>
          <w:rFonts w:hint="eastAsia"/>
        </w:rPr>
        <w:t>全龄段</w:t>
      </w:r>
      <w:r>
        <w:t>用户的肤质检测与改善平台，融合了AI 图像识别、生活方式数据分析、智能推荐与在线皮肤科医疗服务等多项技术。通过用户实时拍摄</w:t>
      </w:r>
      <w:r>
        <w:rPr>
          <w:rFonts w:hint="eastAsia"/>
        </w:rPr>
        <w:t>脸部</w:t>
      </w:r>
      <w:r>
        <w:t>照片，系统可自动识别皮肤问题(如暗沉、起皮、敏感泛红等)，</w:t>
      </w:r>
      <w:r>
        <w:rPr>
          <w:rFonts w:hint="eastAsia"/>
        </w:rPr>
        <w:t>同时</w:t>
      </w:r>
      <w:r>
        <w:t>结合用户的生活习惯数据(饮食、作息等)，为其提供个性化的护肤建议</w:t>
      </w:r>
      <w:r>
        <w:rPr>
          <w:rFonts w:hint="eastAsia"/>
        </w:rPr>
        <w:t>、</w:t>
      </w:r>
      <w:r>
        <w:t>产品推荐、非处方药方案</w:t>
      </w:r>
      <w:r>
        <w:rPr>
          <w:rFonts w:hint="eastAsia"/>
        </w:rPr>
        <w:t>。若有更专业的建议和处方药的需求，还</w:t>
      </w:r>
      <w:r>
        <w:t>可</w:t>
      </w:r>
      <w:r>
        <w:rPr>
          <w:rFonts w:hint="eastAsia"/>
        </w:rPr>
        <w:t>实现线上挂号，</w:t>
      </w:r>
      <w:r>
        <w:t>获得专家极速问诊。</w:t>
      </w:r>
    </w:p>
    <w:p w14:paraId="1F0286C5">
      <w:pPr>
        <w:ind w:firstLine="420" w:firstLineChars="0"/>
      </w:pPr>
      <w:r>
        <w:rPr>
          <w:rFonts w:hint="eastAsia"/>
        </w:rPr>
        <w:t>肌智管家除了可以针对用户肤质给出方案，还提供前沿肤质研究新闻和护肤品讨论区，为用户提供科学、无广告的信息。为了使用户坚持护肤，肌智管家设置个性化提醒，每天清晨为用户发送个人护肤待办。</w:t>
      </w:r>
      <w:r>
        <w:t>本项目</w:t>
      </w:r>
      <w:r>
        <w:rPr>
          <w:rFonts w:hint="eastAsia"/>
        </w:rPr>
        <w:t>定义</w:t>
      </w:r>
      <w:r>
        <w:t>为一站式肌肤管理生态平台，让用户从“发现问题”到“科学改善”</w:t>
      </w:r>
      <w:r>
        <w:rPr>
          <w:rFonts w:hint="eastAsia"/>
        </w:rPr>
        <w:t>，在肌智管家中养好皮肤</w:t>
      </w:r>
      <w:r>
        <w:t>。</w:t>
      </w:r>
    </w:p>
    <w:p w14:paraId="6998E562">
      <w:pPr>
        <w:rPr>
          <w:b/>
          <w:bCs/>
          <w:sz w:val="28"/>
          <w:szCs w:val="28"/>
        </w:rPr>
      </w:pPr>
      <w:r>
        <w:rPr>
          <w:b/>
          <w:bCs/>
          <w:sz w:val="28"/>
          <w:szCs w:val="28"/>
        </w:rPr>
        <w:t>1.2 市场痛点</w:t>
      </w:r>
    </w:p>
    <w:p w14:paraId="02014BA6">
      <w:pPr>
        <w:pStyle w:val="12"/>
        <w:numPr>
          <w:ilvl w:val="0"/>
          <w:numId w:val="1"/>
        </w:numPr>
      </w:pPr>
      <w:r>
        <w:rPr>
          <w:rFonts w:hint="eastAsia"/>
        </w:rPr>
        <w:t>专业检测设备成本昂贵、普遍应用困难：</w:t>
      </w:r>
      <w:r>
        <w:t>皮肤检测设备（如专业皮肤检测仪）多由美容院引入，设备成本高、普及度低，普通用户难以便捷、低成本地获得专业肤质检测，缺乏科学认知自身肤质的工具，只能依赖感性</w:t>
      </w:r>
      <w:r>
        <w:rPr>
          <w:rFonts w:hint="eastAsia"/>
        </w:rPr>
        <w:t>、经验主观</w:t>
      </w:r>
      <w:r>
        <w:t>判断</w:t>
      </w:r>
      <w:r>
        <w:rPr>
          <w:rFonts w:hint="eastAsia"/>
        </w:rPr>
        <w:t>。</w:t>
      </w:r>
    </w:p>
    <w:p w14:paraId="2409826E">
      <w:pPr>
        <w:pStyle w:val="12"/>
        <w:numPr>
          <w:ilvl w:val="0"/>
          <w:numId w:val="1"/>
        </w:numPr>
      </w:pPr>
      <w:r>
        <w:t>信息碎片化、决策困难：</w:t>
      </w:r>
      <w:r>
        <w:rPr>
          <w:rFonts w:hint="eastAsia"/>
        </w:rPr>
        <w:t>在互联网中大量护肤品推荐信息中包含隐形广告，难以找到真实评价；自行搜索得到海量信息容易使得用户看花眼，无法根据个人日常习惯和体质情况确定正确、有效的护肤手段。</w:t>
      </w:r>
    </w:p>
    <w:p w14:paraId="4B157FC3">
      <w:pPr>
        <w:pStyle w:val="12"/>
        <w:numPr>
          <w:ilvl w:val="0"/>
          <w:numId w:val="1"/>
        </w:numPr>
      </w:pPr>
      <w:r>
        <w:t>医疗资源稀缺：</w:t>
      </w:r>
      <w:r>
        <w:rPr>
          <w:rFonts w:hint="eastAsia"/>
        </w:rPr>
        <w:t>正规医院</w:t>
      </w:r>
      <w:r>
        <w:t>皮肤科医生预约难、排队久，</w:t>
      </w:r>
      <w:r>
        <w:rPr>
          <w:rFonts w:hint="eastAsia"/>
        </w:rPr>
        <w:t>耗费时间成本高，线下就诊对于上学、就业群体不友好，</w:t>
      </w:r>
      <w:r>
        <w:t>尤其</w:t>
      </w:r>
      <w:r>
        <w:rPr>
          <w:rFonts w:hint="eastAsia"/>
        </w:rPr>
        <w:t>皮肤仅有</w:t>
      </w:r>
      <w:r>
        <w:t>轻中度问题</w:t>
      </w:r>
      <w:r>
        <w:rPr>
          <w:rFonts w:hint="eastAsia"/>
        </w:rPr>
        <w:t>的</w:t>
      </w:r>
      <w:r>
        <w:t>用户不愿为小问题跑医院。</w:t>
      </w:r>
      <w:r>
        <w:rPr>
          <w:rFonts w:hint="eastAsia"/>
        </w:rPr>
        <w:t>并且医生时间宝贵，无法实现即时性和异步性就诊。</w:t>
      </w:r>
    </w:p>
    <w:p w14:paraId="32F9A34E">
      <w:pPr>
        <w:pStyle w:val="12"/>
        <w:numPr>
          <w:ilvl w:val="0"/>
          <w:numId w:val="1"/>
        </w:numPr>
      </w:pPr>
      <w:r>
        <w:t>数据跟踪缺失：多数护肤 App 无法</w:t>
      </w:r>
      <w:r>
        <w:rPr>
          <w:rFonts w:hint="eastAsia"/>
        </w:rPr>
        <w:t>持续</w:t>
      </w:r>
      <w:r>
        <w:t>记录皮肤状态变化，也无法</w:t>
      </w:r>
      <w:r>
        <w:rPr>
          <w:rFonts w:hint="eastAsia"/>
        </w:rPr>
        <w:t>给出专业建议、</w:t>
      </w:r>
      <w:r>
        <w:t>量化改善效果。</w:t>
      </w:r>
    </w:p>
    <w:p w14:paraId="14460ABE">
      <w:pPr>
        <w:pStyle w:val="12"/>
        <w:numPr>
          <w:ilvl w:val="0"/>
          <w:numId w:val="1"/>
        </w:numPr>
      </w:pPr>
      <w:r>
        <w:rPr>
          <w:rFonts w:hint="eastAsia"/>
        </w:rPr>
        <w:t>没有平台可以实现全套护肤服务：肤质检测、护肤论坛、线上就诊等功能多分散于不同软件、小程序和公众号中，用户需在不同平台之间切换以实现护肤的全部步骤，这种不便利的流程会导致用户的积极性下降。</w:t>
      </w:r>
    </w:p>
    <w:p w14:paraId="771DAC16">
      <w:pPr>
        <w:rPr>
          <w:b/>
          <w:bCs/>
          <w:sz w:val="28"/>
          <w:szCs w:val="28"/>
        </w:rPr>
      </w:pPr>
      <w:r>
        <w:rPr>
          <w:b/>
          <w:bCs/>
          <w:sz w:val="28"/>
          <w:szCs w:val="28"/>
        </w:rPr>
        <w:t>1.3 解决方案</w:t>
      </w:r>
    </w:p>
    <w:p w14:paraId="236C3D0E">
      <w:r>
        <w:rPr>
          <w:rFonts w:hint="eastAsia"/>
        </w:rPr>
        <w:t>“肌智管家”通过</w:t>
      </w:r>
      <w:r>
        <w:t>AI+大数据+远程医疗三大技术手段，解决上述问题：</w:t>
      </w:r>
    </w:p>
    <w:p w14:paraId="1BA48E37">
      <w:pPr>
        <w:pStyle w:val="12"/>
        <w:numPr>
          <w:ilvl w:val="0"/>
          <w:numId w:val="2"/>
        </w:numPr>
      </w:pPr>
      <w:r>
        <w:rPr>
          <w:rFonts w:hint="eastAsia"/>
        </w:rPr>
        <w:t>使用训练好的皮肤病症识别模型</w:t>
      </w:r>
      <w:r>
        <w:t>自动识别皮肤状态，</w:t>
      </w:r>
      <w:r>
        <w:rPr>
          <w:rFonts w:hint="eastAsia"/>
        </w:rPr>
        <w:t>基于前沿科研成果和权威医生的见解构建的知识库</w:t>
      </w:r>
      <w:r>
        <w:t>精准分析问题原因。</w:t>
      </w:r>
    </w:p>
    <w:p w14:paraId="7371725E">
      <w:pPr>
        <w:pStyle w:val="12"/>
        <w:numPr>
          <w:ilvl w:val="0"/>
          <w:numId w:val="2"/>
        </w:numPr>
      </w:pPr>
      <w:r>
        <w:t>融合</w:t>
      </w:r>
      <w:r>
        <w:rPr>
          <w:rFonts w:hint="eastAsia"/>
        </w:rPr>
        <w:t>日常饮食、运动和作息情况等</w:t>
      </w:r>
      <w:r>
        <w:t>生活方式数据，智能生成个性化方案。</w:t>
      </w:r>
    </w:p>
    <w:p w14:paraId="6A400A42">
      <w:pPr>
        <w:pStyle w:val="12"/>
        <w:numPr>
          <w:ilvl w:val="0"/>
          <w:numId w:val="2"/>
        </w:numPr>
      </w:pPr>
      <w:r>
        <w:t>一键直连线上医生，提供极速问诊与用药建议。</w:t>
      </w:r>
    </w:p>
    <w:p w14:paraId="56F4B8D5">
      <w:pPr>
        <w:pStyle w:val="12"/>
        <w:numPr>
          <w:ilvl w:val="0"/>
          <w:numId w:val="2"/>
        </w:numPr>
      </w:pPr>
      <w:r>
        <w:t>记录与可视化皮肤变化趋势，形成动态健康档案</w:t>
      </w:r>
      <w:r>
        <w:rPr>
          <w:rFonts w:hint="eastAsia"/>
        </w:rPr>
        <w:t>，并不断优化最新护肤方案</w:t>
      </w:r>
      <w:r>
        <w:t>。</w:t>
      </w:r>
    </w:p>
    <w:p w14:paraId="3668E0F5">
      <w:pPr>
        <w:pStyle w:val="12"/>
        <w:numPr>
          <w:ilvl w:val="0"/>
          <w:numId w:val="2"/>
        </w:numPr>
      </w:pPr>
      <w:r>
        <w:rPr>
          <w:rFonts w:hint="eastAsia"/>
        </w:rPr>
        <w:t>管理大型数据库，保存论坛内容，方便用户查阅。</w:t>
      </w:r>
    </w:p>
    <w:p w14:paraId="7C66DA69">
      <w:pPr>
        <w:rPr>
          <w:b/>
          <w:bCs/>
          <w:sz w:val="28"/>
          <w:szCs w:val="28"/>
        </w:rPr>
      </w:pPr>
      <w:r>
        <w:rPr>
          <w:b/>
          <w:bCs/>
          <w:sz w:val="28"/>
          <w:szCs w:val="28"/>
        </w:rPr>
        <w:t>1.4 核心竞争优势</w:t>
      </w:r>
    </w:p>
    <w:p w14:paraId="01A9A7AA">
      <w:pPr>
        <w:pStyle w:val="12"/>
        <w:numPr>
          <w:ilvl w:val="0"/>
          <w:numId w:val="3"/>
        </w:numPr>
      </w:pPr>
      <w:r>
        <w:t>AI深度测肤技术：基于海量皮肤影像数据训练的深度</w:t>
      </w:r>
      <w:r>
        <w:rPr>
          <w:rFonts w:hint="eastAsia"/>
        </w:rPr>
        <w:t>学习</w:t>
      </w:r>
      <w:r>
        <w:t>模型，识别精度&gt;90%。</w:t>
      </w:r>
    </w:p>
    <w:p w14:paraId="38962A08">
      <w:pPr>
        <w:pStyle w:val="12"/>
        <w:numPr>
          <w:ilvl w:val="0"/>
          <w:numId w:val="3"/>
        </w:numPr>
      </w:pPr>
      <w:r>
        <w:t>数据驱动推荐引擎：结合用户生活习惯、环境因素与皮肤状态动态生成定制方案。</w:t>
      </w:r>
    </w:p>
    <w:p w14:paraId="7084D8D4">
      <w:pPr>
        <w:pStyle w:val="12"/>
        <w:numPr>
          <w:ilvl w:val="0"/>
          <w:numId w:val="3"/>
        </w:numPr>
      </w:pPr>
      <w:r>
        <w:t>医疗合作资源：与三甲医院皮肤科专家合作，提供权威远程诊疗。</w:t>
      </w:r>
    </w:p>
    <w:p w14:paraId="4BAE959C">
      <w:pPr>
        <w:pStyle w:val="12"/>
        <w:numPr>
          <w:ilvl w:val="0"/>
          <w:numId w:val="3"/>
        </w:numPr>
      </w:pPr>
      <w:r>
        <w:rPr>
          <w:rFonts w:hint="eastAsia"/>
        </w:rPr>
        <w:t>全面护肤</w:t>
      </w:r>
      <w:r>
        <w:t>服务：从检测、分析、改善到问诊、追踪，用户无需跳转多个平台</w:t>
      </w:r>
      <w:r>
        <w:rPr>
          <w:rFonts w:hint="eastAsia"/>
        </w:rPr>
        <w:t>，可以在肌智管家中一站式得到服务</w:t>
      </w:r>
      <w:r>
        <w:t>。</w:t>
      </w:r>
    </w:p>
    <w:p w14:paraId="1D6637DA">
      <w:pPr>
        <w:rPr>
          <w:b/>
          <w:bCs/>
          <w:sz w:val="28"/>
          <w:szCs w:val="28"/>
        </w:rPr>
      </w:pPr>
      <w:r>
        <w:rPr>
          <w:b/>
          <w:bCs/>
          <w:sz w:val="28"/>
          <w:szCs w:val="28"/>
        </w:rPr>
        <w:t>1.5 市场潜力与目标</w:t>
      </w:r>
    </w:p>
    <w:p w14:paraId="7BF0D600">
      <w:r>
        <w:rPr>
          <w:rFonts w:hint="eastAsia"/>
        </w:rPr>
        <w:t>随着人们对肌肤健康关注度不断提升，护肤品市场规模持续扩大，同时互联网医疗的普及也为在线肌肤问诊提供了广阔空间，项目目标市场具有较大增长潜力。</w:t>
      </w:r>
    </w:p>
    <w:p w14:paraId="0560A950">
      <w:r>
        <w:t>项目三年内目标：</w:t>
      </w:r>
    </w:p>
    <w:p w14:paraId="1AA3E88E">
      <w:pPr>
        <w:pStyle w:val="12"/>
        <w:numPr>
          <w:ilvl w:val="0"/>
          <w:numId w:val="4"/>
        </w:numPr>
      </w:pPr>
      <w:r>
        <w:t>覆盖注册用户 ≥ 5万</w:t>
      </w:r>
    </w:p>
    <w:p w14:paraId="4A9E475B">
      <w:pPr>
        <w:pStyle w:val="12"/>
        <w:numPr>
          <w:ilvl w:val="0"/>
          <w:numId w:val="4"/>
        </w:numPr>
      </w:pPr>
      <w:r>
        <w:rPr>
          <w:rFonts w:hint="eastAsia"/>
        </w:rPr>
        <w:t>每日活跃</w:t>
      </w:r>
      <w:r>
        <w:t>用户 ≥ 1万</w:t>
      </w:r>
    </w:p>
    <w:p w14:paraId="1C93C88A">
      <w:pPr>
        <w:pStyle w:val="12"/>
        <w:numPr>
          <w:ilvl w:val="0"/>
          <w:numId w:val="4"/>
        </w:numPr>
      </w:pPr>
      <w:r>
        <w:t>与≥50家三甲医院建立合作</w:t>
      </w:r>
    </w:p>
    <w:p w14:paraId="0DBEFF30">
      <w:pPr>
        <w:pStyle w:val="12"/>
        <w:numPr>
          <w:ilvl w:val="0"/>
          <w:numId w:val="0"/>
        </w:numPr>
        <w:ind w:leftChars="0"/>
      </w:pPr>
    </w:p>
    <w:p w14:paraId="7491E139">
      <w:pPr>
        <w:rPr>
          <w:b/>
          <w:bCs/>
          <w:sz w:val="28"/>
          <w:szCs w:val="28"/>
        </w:rPr>
      </w:pPr>
    </w:p>
    <w:p w14:paraId="780A1213">
      <w:pPr>
        <w:rPr>
          <w:b/>
          <w:bCs/>
          <w:sz w:val="28"/>
          <w:szCs w:val="28"/>
        </w:rPr>
      </w:pPr>
      <w:r>
        <w:rPr>
          <w:b/>
          <w:bCs/>
          <w:sz w:val="28"/>
          <w:szCs w:val="28"/>
        </w:rPr>
        <w:br w:type="page"/>
      </w:r>
    </w:p>
    <w:p w14:paraId="7612FF21">
      <w:pPr>
        <w:jc w:val="center"/>
        <w:rPr>
          <w:b/>
          <w:bCs/>
          <w:sz w:val="32"/>
          <w:szCs w:val="32"/>
        </w:rPr>
      </w:pPr>
      <w:r>
        <w:rPr>
          <w:b/>
          <w:bCs/>
          <w:sz w:val="32"/>
          <w:szCs w:val="32"/>
        </w:rPr>
        <w:t>2.0产品与服务</w:t>
      </w:r>
    </w:p>
    <w:p w14:paraId="01B9D781">
      <w:pPr>
        <w:rPr>
          <w:b/>
          <w:bCs/>
          <w:sz w:val="28"/>
          <w:szCs w:val="28"/>
        </w:rPr>
      </w:pPr>
      <w:r>
        <w:rPr>
          <w:b/>
          <w:bCs/>
          <w:sz w:val="28"/>
          <w:szCs w:val="28"/>
        </w:rPr>
        <w:t>2.1 产品定位与愿景</w:t>
      </w:r>
    </w:p>
    <w:p w14:paraId="0D3C7C06">
      <w:r>
        <w:t>定位：面向“追求科学护肤”的都市人群、问题肌人群及时间有限的轻症用户的智能皮肤管理平台</w:t>
      </w:r>
      <w:r>
        <w:rPr>
          <w:rFonts w:hint="eastAsia"/>
        </w:rPr>
        <w:t>，同时为想寻找何时护肤品的人群提供建议和产品的真实评价</w:t>
      </w:r>
      <w:r>
        <w:t xml:space="preserve">。  </w:t>
      </w:r>
    </w:p>
    <w:p w14:paraId="0C3A3ABB">
      <w:r>
        <w:t>愿景：成为“人人口袋里的</w:t>
      </w:r>
      <w:r>
        <w:rPr>
          <w:rFonts w:hint="eastAsia"/>
        </w:rPr>
        <w:t>移动</w:t>
      </w:r>
      <w:r>
        <w:t>皮肤科医生”，让皮肤健康管理像刷手机一样简单</w:t>
      </w:r>
      <w:r>
        <w:rPr>
          <w:rFonts w:hint="eastAsia"/>
        </w:rPr>
        <w:t>，做到护肤常态化</w:t>
      </w:r>
      <w:r>
        <w:t>。</w:t>
      </w:r>
    </w:p>
    <w:p w14:paraId="5EA4BB43">
      <w:pPr>
        <w:rPr>
          <w:b/>
          <w:bCs/>
          <w:sz w:val="28"/>
          <w:szCs w:val="28"/>
        </w:rPr>
      </w:pPr>
      <w:r>
        <w:rPr>
          <w:b/>
          <w:bCs/>
          <w:sz w:val="28"/>
          <w:szCs w:val="28"/>
        </w:rPr>
        <w:t>2.2核心功能矩阵</w:t>
      </w:r>
    </w:p>
    <w:p w14:paraId="080AEA25">
      <w:pPr>
        <w:rPr>
          <w:rFonts w:cs="Times New Roman" w:asciiTheme="minorHAnsi" w:hAnsiTheme="minorHAnsi" w:eastAsiaTheme="minorEastAsia"/>
          <w:b/>
          <w:bCs/>
          <w:kern w:val="0"/>
          <w:sz w:val="28"/>
          <w:szCs w:val="28"/>
          <w:lang w:val="en-US" w:eastAsia="zh-CN" w:bidi="ar-SA"/>
        </w:rPr>
      </w:pPr>
      <w:r>
        <w:rPr>
          <w:rFonts w:cs="Times New Roman" w:asciiTheme="minorHAnsi" w:hAnsiTheme="minorHAnsi" w:eastAsiaTheme="minorEastAsia"/>
          <w:b/>
          <w:bCs/>
          <w:kern w:val="0"/>
          <w:sz w:val="28"/>
          <w:szCs w:val="28"/>
          <w:lang w:val="en-US" w:eastAsia="zh-CN" w:bidi="ar-SA"/>
        </w:rPr>
        <w:t>2.2.1 AI即时测肤与智能分析</w:t>
      </w:r>
    </w:p>
    <w:p w14:paraId="58D23475">
      <w:r>
        <w:t>用户可上传照片或实时拍摄面部。</w:t>
      </w:r>
    </w:p>
    <w:p w14:paraId="5D0BBA3C">
      <w:r>
        <w:t>AI 模型自动识别暗沉、起皮、红斑、</w:t>
      </w:r>
      <w:r>
        <w:rPr>
          <w:rFonts w:hint="eastAsia"/>
        </w:rPr>
        <w:t>痤疮</w:t>
      </w:r>
      <w:r>
        <w:t>、敏感等皮肤问题。</w:t>
      </w:r>
    </w:p>
    <w:p w14:paraId="7553EDF0">
      <w:r>
        <w:t>根据检测结果生成“皮肤健康报告”，并</w:t>
      </w:r>
      <w:r>
        <w:rPr>
          <w:rFonts w:hint="eastAsia"/>
        </w:rPr>
        <w:t>初步</w:t>
      </w:r>
      <w:r>
        <w:t>提供可能成因分析。</w:t>
      </w:r>
    </w:p>
    <w:p w14:paraId="7EFA9B8D">
      <w:pPr>
        <w:rPr>
          <w:rFonts w:cs="Times New Roman" w:asciiTheme="minorHAnsi" w:hAnsiTheme="minorHAnsi" w:eastAsiaTheme="minorEastAsia"/>
          <w:b/>
          <w:bCs/>
          <w:kern w:val="0"/>
          <w:sz w:val="28"/>
          <w:szCs w:val="28"/>
          <w:lang w:val="en-US" w:eastAsia="zh-CN" w:bidi="ar-SA"/>
        </w:rPr>
      </w:pPr>
      <w:r>
        <w:rPr>
          <w:rFonts w:cs="Times New Roman" w:asciiTheme="minorHAnsi" w:hAnsiTheme="minorHAnsi" w:eastAsiaTheme="minorEastAsia"/>
          <w:b/>
          <w:bCs/>
          <w:kern w:val="0"/>
          <w:sz w:val="28"/>
          <w:szCs w:val="28"/>
          <w:lang w:val="en-US" w:eastAsia="zh-CN" w:bidi="ar-SA"/>
        </w:rPr>
        <w:t>2.2.2 个性化护肤方案生成</w:t>
      </w:r>
    </w:p>
    <w:p w14:paraId="04E2A824">
      <w:r>
        <w:t>系统收集饮食、作息、环境、天气等多维度数据。</w:t>
      </w:r>
    </w:p>
    <w:p w14:paraId="22393424">
      <w:r>
        <w:t>通过算法生成“内部改善建议”（如作息、饮食调整）和“外部护理方案”（护肤品、药膏推荐）。</w:t>
      </w:r>
    </w:p>
    <w:p w14:paraId="2C2D4E56">
      <w:r>
        <w:t>推荐内容基</w:t>
      </w:r>
      <w:r>
        <w:rPr>
          <w:rFonts w:hint="eastAsia"/>
        </w:rPr>
        <w:t>于</w:t>
      </w:r>
      <w:r>
        <w:t>真实皮肤案例数据库匹配。</w:t>
      </w:r>
    </w:p>
    <w:p w14:paraId="1B48B1B6">
      <w:pPr>
        <w:rPr>
          <w:rFonts w:cs="Times New Roman" w:asciiTheme="minorHAnsi" w:hAnsiTheme="minorHAnsi" w:eastAsiaTheme="minorEastAsia"/>
          <w:b/>
          <w:bCs/>
          <w:kern w:val="0"/>
          <w:sz w:val="28"/>
          <w:szCs w:val="28"/>
          <w:lang w:val="en-US" w:eastAsia="zh-CN" w:bidi="ar-SA"/>
        </w:rPr>
      </w:pPr>
      <w:r>
        <w:rPr>
          <w:rFonts w:cs="Times New Roman" w:asciiTheme="minorHAnsi" w:hAnsiTheme="minorHAnsi" w:eastAsiaTheme="minorEastAsia"/>
          <w:b/>
          <w:bCs/>
          <w:kern w:val="0"/>
          <w:sz w:val="28"/>
          <w:szCs w:val="28"/>
          <w:lang w:val="en-US" w:eastAsia="zh-CN" w:bidi="ar-SA"/>
        </w:rPr>
        <w:t>2.2.3 “极速问诊”在线医疗服务</w:t>
      </w:r>
    </w:p>
    <w:p w14:paraId="2C58D2C9">
      <w:r>
        <w:t>与三甲医院合作，接入互联网医院平台。</w:t>
      </w:r>
    </w:p>
    <w:p w14:paraId="21851186">
      <w:r>
        <w:t>用户可</w:t>
      </w:r>
      <w:r>
        <w:rPr>
          <w:rFonts w:hint="eastAsia"/>
        </w:rPr>
        <w:t>选择平台推荐的医院和医生</w:t>
      </w:r>
      <w:r>
        <w:t>，</w:t>
      </w:r>
      <w:r>
        <w:rPr>
          <w:rFonts w:hint="eastAsia"/>
        </w:rPr>
        <w:t>实现</w:t>
      </w:r>
      <w:r>
        <w:t>分钟</w:t>
      </w:r>
      <w:r>
        <w:rPr>
          <w:rFonts w:hint="eastAsia"/>
        </w:rPr>
        <w:t>维度</w:t>
      </w:r>
      <w:r>
        <w:t>匹配皮肤科专家。</w:t>
      </w:r>
    </w:p>
    <w:p w14:paraId="7034A179">
      <w:r>
        <w:t>医生可根据AI检测结果和用户数据，</w:t>
      </w:r>
      <w:r>
        <w:rPr>
          <w:rFonts w:hint="eastAsia"/>
        </w:rPr>
        <w:t>，并实现与用户的异步沟通，</w:t>
      </w:r>
      <w:r>
        <w:t>给出专业处方或建议。</w:t>
      </w:r>
    </w:p>
    <w:p w14:paraId="4811988A">
      <w:r>
        <w:rPr>
          <w:rFonts w:cs="Times New Roman" w:asciiTheme="minorHAnsi" w:hAnsiTheme="minorHAnsi" w:eastAsiaTheme="minorEastAsia"/>
          <w:b/>
          <w:bCs/>
          <w:kern w:val="0"/>
          <w:sz w:val="28"/>
          <w:szCs w:val="28"/>
          <w:lang w:val="en-US" w:eastAsia="zh-CN" w:bidi="ar-SA"/>
        </w:rPr>
        <w:t>2.2.4 皮肤状态动态追踪与可视化系统自动记录历史检测数据。</w:t>
      </w:r>
    </w:p>
    <w:p w14:paraId="72E90268">
      <w:r>
        <w:t>生成皮肤改善趋势图表，支持不同时间维度查看</w:t>
      </w:r>
      <w:r>
        <w:rPr>
          <w:rFonts w:hint="eastAsia"/>
        </w:rPr>
        <w:t>，</w:t>
      </w:r>
      <w:r>
        <w:t>量化行为与效果的关联。</w:t>
      </w:r>
    </w:p>
    <w:p w14:paraId="4A6E9D2D">
      <w:r>
        <w:t>提供“护肤打卡”功能</w:t>
      </w:r>
      <w:r>
        <w:rPr>
          <w:rFonts w:hint="eastAsia"/>
        </w:rPr>
        <w:t>督促用户护肤日常化</w:t>
      </w:r>
      <w:r>
        <w:t>。</w:t>
      </w:r>
    </w:p>
    <w:p w14:paraId="48DD48A3">
      <w:pPr>
        <w:rPr>
          <w:rFonts w:cs="Times New Roman" w:asciiTheme="minorHAnsi" w:hAnsiTheme="minorHAnsi" w:eastAsiaTheme="minorEastAsia"/>
          <w:b/>
          <w:bCs/>
          <w:kern w:val="0"/>
          <w:sz w:val="28"/>
          <w:szCs w:val="28"/>
          <w:lang w:val="en-US" w:eastAsia="zh-CN" w:bidi="ar-SA"/>
        </w:rPr>
      </w:pPr>
      <w:r>
        <w:rPr>
          <w:rFonts w:cs="Times New Roman" w:asciiTheme="minorHAnsi" w:hAnsiTheme="minorHAnsi" w:eastAsiaTheme="minorEastAsia"/>
          <w:b/>
          <w:bCs/>
          <w:kern w:val="0"/>
          <w:sz w:val="28"/>
          <w:szCs w:val="28"/>
          <w:lang w:val="en-US" w:eastAsia="zh-CN" w:bidi="ar-SA"/>
        </w:rPr>
        <w:t>2.2.5 护肤知识与用户交流社区</w:t>
      </w:r>
    </w:p>
    <w:p w14:paraId="29E4CE17">
      <w:r>
        <w:t>首页提供本地天气+护肤提醒（如紫外线指数</w:t>
      </w:r>
      <w:r>
        <w:rPr>
          <w:rFonts w:hint="eastAsia"/>
        </w:rPr>
        <w:t>及其指示信息</w:t>
      </w:r>
      <w:r>
        <w:t>、</w:t>
      </w:r>
      <w:r>
        <w:rPr>
          <w:rFonts w:hint="eastAsia"/>
        </w:rPr>
        <w:t>物理/化学</w:t>
      </w:r>
      <w:r>
        <w:t>防晒建议）。</w:t>
      </w:r>
    </w:p>
    <w:p w14:paraId="09ABF341">
      <w:r>
        <w:t>“知识中心”定期推送最新科研成果与护肤趋势。社区板块展示热门讨论话题，用户可</w:t>
      </w:r>
      <w:r>
        <w:rPr>
          <w:rFonts w:hint="eastAsia"/>
        </w:rPr>
        <w:t>互相</w:t>
      </w:r>
      <w:r>
        <w:t>分享经验</w:t>
      </w:r>
      <w:r>
        <w:rPr>
          <w:rFonts w:hint="eastAsia"/>
        </w:rPr>
        <w:t>，平台会定期检验是否有广告并清理</w:t>
      </w:r>
      <w:r>
        <w:t>。</w:t>
      </w:r>
    </w:p>
    <w:p w14:paraId="261CA5C0">
      <w:pPr>
        <w:rPr>
          <w:b/>
          <w:bCs/>
          <w:sz w:val="28"/>
          <w:szCs w:val="28"/>
        </w:rPr>
      </w:pPr>
      <w:r>
        <w:rPr>
          <w:b/>
          <w:bCs/>
          <w:sz w:val="28"/>
          <w:szCs w:val="28"/>
        </w:rPr>
        <w:t>2.3 独特销售主张</w:t>
      </w:r>
    </w:p>
    <w:p w14:paraId="7FCDB990">
      <w:r>
        <w:t>从“问题发现”到“问题解决”全流程智能化</w:t>
      </w:r>
      <w:r>
        <w:rPr>
          <w:rFonts w:hint="eastAsia"/>
        </w:rPr>
        <w:t>，使用户能获得高效、高度数据化的服务</w:t>
      </w:r>
      <w:r>
        <w:t>。</w:t>
      </w:r>
    </w:p>
    <w:p w14:paraId="69CF70CE">
      <w:r>
        <w:t>个性化推荐基于用户真实数据而非广告导向</w:t>
      </w:r>
      <w:r>
        <w:rPr>
          <w:rFonts w:hint="eastAsia"/>
        </w:rPr>
        <w:t>，使用户用得开心、用得放心</w:t>
      </w:r>
      <w:r>
        <w:t>。</w:t>
      </w:r>
    </w:p>
    <w:p w14:paraId="2F5E2362">
      <w:r>
        <w:t>在线医疗服务让“皮肤科咨询”像聊天一样便捷</w:t>
      </w:r>
      <w:r>
        <w:rPr>
          <w:rFonts w:hint="eastAsia"/>
        </w:rPr>
        <w:t>，支持在一定时限内医生和用户异步问诊，而无需担心任何一方有突发急事等特殊情况。</w:t>
      </w:r>
    </w:p>
    <w:p w14:paraId="11C250A6">
      <w:pPr>
        <w:rPr>
          <w:b/>
          <w:bCs/>
          <w:sz w:val="28"/>
          <w:szCs w:val="28"/>
        </w:rPr>
      </w:pPr>
      <w:r>
        <w:rPr>
          <w:b/>
          <w:bCs/>
          <w:sz w:val="28"/>
          <w:szCs w:val="28"/>
        </w:rPr>
        <w:t>2.4 技术壁垒:基于海量医疗数据训练的大模型</w:t>
      </w:r>
    </w:p>
    <w:p w14:paraId="274C90E1">
      <w:r>
        <w:t>拥有海量皮肤图像、病例、改善方案数据库。</w:t>
      </w:r>
    </w:p>
    <w:p w14:paraId="731E0256">
      <w:r>
        <w:t>AI模型通过皮肤科</w:t>
      </w:r>
      <w:r>
        <w:rPr>
          <w:rFonts w:hint="eastAsia"/>
        </w:rPr>
        <w:t>护士、医学影像技师</w:t>
      </w:r>
      <w:r>
        <w:t>标注的训练集不断迭代优化。</w:t>
      </w:r>
    </w:p>
    <w:p w14:paraId="78D00D4A">
      <w:r>
        <w:t>推荐算法结合深度学习和知识图谱，实现高精度匹配。</w:t>
      </w:r>
    </w:p>
    <w:p w14:paraId="182543C6">
      <w:pPr>
        <w:rPr>
          <w:b/>
          <w:bCs/>
          <w:sz w:val="28"/>
          <w:szCs w:val="28"/>
        </w:rPr>
      </w:pPr>
      <w:r>
        <w:rPr>
          <w:rFonts w:hint="eastAsia"/>
          <w:b/>
          <w:bCs/>
          <w:sz w:val="28"/>
          <w:szCs w:val="28"/>
        </w:rPr>
        <w:t>2.5 品牌未来</w:t>
      </w:r>
    </w:p>
    <w:p w14:paraId="0491222A">
      <w:r>
        <w:t>基于核心肌肤管理能力，品牌将向个性化美妆科技融合方向拓展，打造 “护肤 + 美妆” 无缝衔接的生态体系：</w:t>
      </w:r>
    </w:p>
    <w:p w14:paraId="08E2094F">
      <w:pPr>
        <w:numPr>
          <w:ilvl w:val="0"/>
          <w:numId w:val="5"/>
        </w:numPr>
        <w:rPr>
          <w:b/>
          <w:bCs/>
          <w:sz w:val="28"/>
          <w:szCs w:val="28"/>
        </w:rPr>
      </w:pPr>
      <w:r>
        <w:rPr>
          <w:b/>
          <w:bCs/>
          <w:sz w:val="28"/>
          <w:szCs w:val="28"/>
        </w:rPr>
        <w:t>精准美妆匹配系统</w:t>
      </w:r>
    </w:p>
    <w:p w14:paraId="049A02A3">
      <w:r>
        <w:t>借助 AI 技术深度分析用户肤色基调（冷调 / 暖调 / 中性调）、肤质类型（干皮 / 油皮 / 混合皮）及季节变化特征，实现粉底液色号的超高精准推荐 —— 综合考量光线照射、肌肤含水量等动态因素，确保底妆与原生肤质高度贴合。同步推出 “肤色色卡测试” 功能，生成用户专属色彩盘，精准匹配适配口红、腮红、眼影等彩妆色调，避免出现 “妆容显脏”“色调违和” 等问题。</w:t>
      </w:r>
    </w:p>
    <w:p w14:paraId="4E3B77C9">
      <w:pPr>
        <w:numPr>
          <w:ilvl w:val="0"/>
          <w:numId w:val="5"/>
        </w:numPr>
        <w:rPr>
          <w:b/>
          <w:bCs/>
          <w:sz w:val="28"/>
          <w:szCs w:val="28"/>
        </w:rPr>
      </w:pPr>
      <w:r>
        <w:rPr>
          <w:b/>
          <w:bCs/>
          <w:sz w:val="28"/>
          <w:szCs w:val="28"/>
        </w:rPr>
        <w:t>智能美妆工具联动</w:t>
      </w:r>
    </w:p>
    <w:p w14:paraId="6883FF2B">
      <w:r>
        <w:t>联合美妆品牌与科技厂商，实现与智能美妆镜、便携化妆工具等设备的互联互通。这些设备可实时同步用户肌肤数据并提供动态反馈：例如根据肤质纹理提醒需重点晕染粉底的区域，或在潮湿天气推荐轻薄配方底妆以预防毛孔堵塞。通过硬件与软件的深度协同，让美妆操作更贴合肌肤实时状态。</w:t>
      </w:r>
    </w:p>
    <w:p w14:paraId="6125A7F5">
      <w:pPr>
        <w:numPr>
          <w:ilvl w:val="0"/>
          <w:numId w:val="5"/>
        </w:numPr>
        <w:rPr>
          <w:b/>
          <w:bCs/>
          <w:sz w:val="28"/>
          <w:szCs w:val="28"/>
        </w:rPr>
      </w:pPr>
      <w:r>
        <w:rPr>
          <w:b/>
          <w:bCs/>
          <w:sz w:val="28"/>
          <w:szCs w:val="28"/>
        </w:rPr>
        <w:t>跨品牌色号适配数据库</w:t>
      </w:r>
    </w:p>
    <w:p w14:paraId="39249E95">
      <w:r>
        <w:t>针对美妆行业色号命名混乱的痛点，构建通用色号匹配数据库。用户输入心仪的粉底液色号后，系统可跨品牌推荐对等色号，并同步校验成分与肤质的兼容性 —— 既解决 “换品牌需重新试色” 的麻烦，又规避因成分不适引发的肌肤问题。</w:t>
      </w:r>
    </w:p>
    <w:p w14:paraId="06D28BA0">
      <w:pPr>
        <w:numPr>
          <w:ilvl w:val="0"/>
          <w:numId w:val="5"/>
        </w:numPr>
        <w:rPr>
          <w:b/>
          <w:bCs/>
          <w:sz w:val="28"/>
          <w:szCs w:val="28"/>
        </w:rPr>
      </w:pPr>
      <w:r>
        <w:rPr>
          <w:b/>
          <w:bCs/>
          <w:sz w:val="28"/>
          <w:szCs w:val="28"/>
        </w:rPr>
        <w:t>肌肤 - 美妆交互动态追踪</w:t>
      </w:r>
    </w:p>
    <w:p w14:paraId="58FF3748">
      <w:r>
        <w:t>超越单一推荐维度，系统将持续监测彩妆产品与肌肤的长期作用效果：追踪上妆后刺激反应、脱妆出油、干燥卡粉等关键指标，结合历史数据生成 “美妆适配报告”。例如针对 T 区出油用户推荐控油妆前乳，为干纹区域匹配保湿遮瑕，实现美妆方案的自适应迭代。</w:t>
      </w:r>
    </w:p>
    <w:p w14:paraId="750AC215">
      <w:pPr>
        <w:numPr>
          <w:ilvl w:val="0"/>
          <w:numId w:val="5"/>
        </w:numPr>
        <w:rPr>
          <w:b/>
          <w:bCs/>
          <w:sz w:val="28"/>
          <w:szCs w:val="28"/>
        </w:rPr>
      </w:pPr>
      <w:r>
        <w:rPr>
          <w:b/>
          <w:bCs/>
          <w:sz w:val="28"/>
          <w:szCs w:val="28"/>
        </w:rPr>
        <w:t>AR 虚拟试妆体验</w:t>
      </w:r>
    </w:p>
    <w:p w14:paraId="6179D9FC">
      <w:r>
        <w:t>集成增强现实技术，用户可基于最新肌肤状态数据，在实时面部影像上虚拟试用推荐彩妆。该功能支持无风险试色与配方体验，同时 AI 会结合肤质特点提供定制化上妆技巧，如 “针对干燥区域，粉底需从中心向外轻拍晕染以避免加重卡粉”。</w:t>
      </w:r>
    </w:p>
    <w:p w14:paraId="0EAC4C57">
      <w:r>
        <w:t>通过以上拓展，品牌将从 “肌肤健康管家” 升级为 “全方位美妆伴侣”，打通科学护肤与个性化美妆的衔接壁垒，让 “以肤为本” 的美妆理念触达更多用户。</w:t>
      </w:r>
    </w:p>
    <w:p w14:paraId="542B5BB6"/>
    <w:p w14:paraId="4323A601">
      <w:pPr>
        <w:rPr>
          <w:rStyle w:val="13"/>
          <w:color w:val="1A1C1E"/>
          <w:szCs w:val="32"/>
          <w:shd w:val="clear" w:color="auto" w:fill="FFFFFF"/>
        </w:rPr>
      </w:pPr>
      <w:r>
        <w:rPr>
          <w:rStyle w:val="13"/>
          <w:color w:val="1A1C1E"/>
          <w:szCs w:val="32"/>
          <w:shd w:val="clear" w:color="auto" w:fill="FFFFFF"/>
        </w:rPr>
        <w:br w:type="page"/>
      </w:r>
    </w:p>
    <w:p w14:paraId="4FC788B5">
      <w:pPr>
        <w:pStyle w:val="2"/>
        <w:ind w:firstLine="0" w:firstLineChars="0"/>
        <w:jc w:val="center"/>
        <w:rPr>
          <w:szCs w:val="32"/>
        </w:rPr>
      </w:pPr>
      <w:r>
        <w:rPr>
          <w:rStyle w:val="13"/>
          <w:color w:val="1A1C1E"/>
          <w:szCs w:val="32"/>
          <w:shd w:val="clear" w:color="auto" w:fill="FFFFFF"/>
        </w:rPr>
        <w:t>3.</w:t>
      </w:r>
      <w:r>
        <w:rPr>
          <w:rStyle w:val="13"/>
          <w:rFonts w:hint="eastAsia"/>
          <w:color w:val="1A1C1E"/>
          <w:szCs w:val="32"/>
          <w:shd w:val="clear" w:color="auto" w:fill="FFFFFF"/>
          <w:lang w:val="en-US" w:eastAsia="zh-CN"/>
        </w:rPr>
        <w:t>0</w:t>
      </w:r>
      <w:r>
        <w:rPr>
          <w:rStyle w:val="13"/>
          <w:color w:val="1A1C1E"/>
          <w:szCs w:val="32"/>
          <w:shd w:val="clear" w:color="auto" w:fill="FFFFFF"/>
        </w:rPr>
        <w:t>市场分析</w:t>
      </w:r>
    </w:p>
    <w:p w14:paraId="246790C7">
      <w:pPr>
        <w:pStyle w:val="3"/>
        <w:ind w:firstLine="0" w:firstLineChars="0"/>
        <w:rPr>
          <w:rFonts w:cs="Times New Roman"/>
        </w:rPr>
      </w:pPr>
      <w:r>
        <w:rPr>
          <w:rFonts w:cs="Times New Roman"/>
        </w:rPr>
        <w:t>3.1 行业概况与市场规模</w:t>
      </w:r>
    </w:p>
    <w:p w14:paraId="284E289A">
      <w:pPr>
        <w:pStyle w:val="4"/>
        <w:ind w:firstLineChars="0"/>
        <w:rPr>
          <w:rFonts w:cs="Times New Roman"/>
          <w:sz w:val="28"/>
          <w:szCs w:val="28"/>
        </w:rPr>
      </w:pPr>
      <w:r>
        <w:rPr>
          <w:rFonts w:cs="Times New Roman"/>
          <w:sz w:val="28"/>
          <w:szCs w:val="28"/>
        </w:rPr>
        <w:t>3.1.1 市场宏观背景与趋势</w:t>
      </w:r>
    </w:p>
    <w:p w14:paraId="206BC9D6">
      <w:pPr>
        <w:widowControl/>
        <w:shd w:val="clear" w:color="auto" w:fill="FFFFFF"/>
        <w:spacing w:after="45" w:line="300" w:lineRule="atLeast"/>
        <w:ind w:firstLine="480"/>
        <w:jc w:val="left"/>
        <w:rPr>
          <w:rFonts w:cs="Times New Roman"/>
          <w:color w:val="1A1C1E"/>
          <w:kern w:val="0"/>
          <w:szCs w:val="21"/>
        </w:rPr>
      </w:pPr>
      <w:r>
        <w:rPr>
          <w:rFonts w:cs="Times New Roman"/>
          <w:color w:val="1A1C1E"/>
          <w:kern w:val="0"/>
          <w:szCs w:val="21"/>
        </w:rPr>
        <w:t>中国的化妆品和护肤品市场已正式迈入“万亿级”规模，并在本土品牌崛起、科技水平提高和消费者需求升级的驱动下，</w:t>
      </w:r>
      <w:r>
        <w:rPr>
          <w:rFonts w:hint="eastAsia" w:cs="Times New Roman"/>
          <w:color w:val="1A1C1E"/>
          <w:kern w:val="0"/>
          <w:szCs w:val="21"/>
        </w:rPr>
        <w:t>其</w:t>
      </w:r>
      <w:r>
        <w:rPr>
          <w:rFonts w:cs="Times New Roman"/>
          <w:color w:val="1A1C1E"/>
          <w:kern w:val="0"/>
          <w:szCs w:val="21"/>
        </w:rPr>
        <w:t>市场结构正向更专业化和数字化方向加速迈进。</w:t>
      </w:r>
    </w:p>
    <w:p w14:paraId="4C8D8CC6">
      <w:pPr>
        <w:widowControl/>
        <w:shd w:val="clear" w:color="auto" w:fill="FFFFFF"/>
        <w:spacing w:after="45" w:line="300" w:lineRule="atLeast"/>
        <w:ind w:left="360" w:firstLine="0" w:firstLineChars="0"/>
        <w:jc w:val="left"/>
        <w:rPr>
          <w:rFonts w:cs="Times New Roman"/>
          <w:color w:val="1A1C1E"/>
          <w:kern w:val="0"/>
        </w:rPr>
      </w:pPr>
      <w:r>
        <w:rPr>
          <w:rStyle w:val="13"/>
          <w:rFonts w:cs="Times New Roman"/>
          <w:b/>
          <w:bCs/>
          <w:color w:val="1A1C1E"/>
          <w:shd w:val="clear" w:color="auto" w:fill="FFFFFF"/>
        </w:rPr>
        <w:t>1、宏观市场规模</w:t>
      </w:r>
    </w:p>
    <w:p w14:paraId="3557D470">
      <w:pPr>
        <w:widowControl/>
        <w:shd w:val="clear" w:color="auto" w:fill="FFFFFF"/>
        <w:spacing w:after="45" w:line="300" w:lineRule="atLeast"/>
        <w:ind w:firstLine="482"/>
        <w:jc w:val="left"/>
        <w:rPr>
          <w:rFonts w:cs="Times New Roman"/>
          <w:color w:val="1A1C1E"/>
          <w:kern w:val="0"/>
        </w:rPr>
      </w:pPr>
      <w:r>
        <w:rPr>
          <w:rStyle w:val="13"/>
          <w:rFonts w:cs="Times New Roman"/>
          <w:b/>
          <w:bCs/>
          <w:color w:val="1A1C1E"/>
          <w:shd w:val="clear" w:color="auto" w:fill="FFFFFF"/>
        </w:rPr>
        <w:t>万亿级市场规模</w:t>
      </w:r>
      <w:r>
        <w:rPr>
          <w:rFonts w:cs="Times New Roman"/>
          <w:b/>
          <w:bCs/>
          <w:color w:val="1A1C1E"/>
          <w:kern w:val="0"/>
        </w:rPr>
        <w:t>：</w:t>
      </w:r>
      <w:r>
        <w:rPr>
          <w:rFonts w:cs="Times New Roman"/>
          <w:color w:val="1A1C1E"/>
          <w:kern w:val="0"/>
        </w:rPr>
        <w:t> </w:t>
      </w:r>
      <w:r>
        <w:rPr>
          <w:rStyle w:val="13"/>
          <w:rFonts w:cs="Times New Roman"/>
          <w:color w:val="1A1C1E"/>
          <w:shd w:val="clear" w:color="auto" w:fill="FFFFFF"/>
        </w:rPr>
        <w:t>根据中国香妆协会产业研究中心的调研，</w:t>
      </w:r>
      <w:r>
        <w:rPr>
          <w:rStyle w:val="13"/>
          <w:rFonts w:cs="Times New Roman"/>
          <w:b/>
          <w:bCs/>
          <w:color w:val="1A1C1E"/>
          <w:shd w:val="clear" w:color="auto" w:fill="FFFFFF"/>
        </w:rPr>
        <w:t>2024 年中国化妆品市场交易总额为 10738.22 亿元人民币</w:t>
      </w:r>
      <w:r>
        <w:rPr>
          <w:rStyle w:val="13"/>
          <w:rFonts w:cs="Times New Roman"/>
          <w:color w:val="1A1C1E"/>
          <w:shd w:val="clear" w:color="auto" w:fill="FFFFFF"/>
        </w:rPr>
        <w:t>，同比增长 2.8%。这充分表明中国化妆品行业发展稳中有进、持续增长</w:t>
      </w:r>
    </w:p>
    <w:p w14:paraId="5B18F68B">
      <w:pPr>
        <w:widowControl/>
        <w:shd w:val="clear" w:color="auto" w:fill="FFFFFF"/>
        <w:spacing w:after="45" w:line="300" w:lineRule="atLeast"/>
        <w:ind w:firstLine="482"/>
        <w:jc w:val="left"/>
        <w:rPr>
          <w:rStyle w:val="13"/>
          <w:rFonts w:cs="Times New Roman"/>
          <w:color w:val="1A1C1E"/>
          <w:szCs w:val="21"/>
          <w:shd w:val="clear" w:color="auto" w:fill="FFFFFF"/>
        </w:rPr>
      </w:pPr>
      <w:r>
        <w:rPr>
          <w:rStyle w:val="13"/>
          <w:rFonts w:cs="Times New Roman"/>
          <w:b/>
          <w:bCs/>
          <w:color w:val="1A1C1E"/>
          <w:shd w:val="clear" w:color="auto" w:fill="FFFFFF"/>
        </w:rPr>
        <w:t>护肤品</w:t>
      </w:r>
      <w:r>
        <w:rPr>
          <w:rFonts w:cs="Times New Roman"/>
          <w:b/>
          <w:bCs/>
          <w:color w:val="1A1C1E"/>
          <w:kern w:val="0"/>
          <w:szCs w:val="21"/>
        </w:rPr>
        <w:t>市场规模</w:t>
      </w:r>
      <w:r>
        <w:rPr>
          <w:rFonts w:cs="Times New Roman"/>
          <w:b/>
          <w:bCs/>
          <w:color w:val="1A1C1E"/>
          <w:kern w:val="0"/>
        </w:rPr>
        <w:t>：</w:t>
      </w:r>
      <w:r>
        <w:rPr>
          <w:rFonts w:cs="Times New Roman"/>
          <w:color w:val="1A1C1E"/>
          <w:kern w:val="0"/>
        </w:rPr>
        <w:t> </w:t>
      </w:r>
      <w:r>
        <w:rPr>
          <w:rStyle w:val="13"/>
          <w:rFonts w:cs="Times New Roman"/>
          <w:color w:val="1A1C1E"/>
          <w:shd w:val="clear" w:color="auto" w:fill="FFFFFF"/>
        </w:rPr>
        <w:t>护肤品市场作为核心品类，预计在 </w:t>
      </w:r>
      <w:r>
        <w:rPr>
          <w:rStyle w:val="13"/>
          <w:rFonts w:cs="Times New Roman"/>
          <w:b/>
          <w:bCs/>
          <w:color w:val="1A1C1E"/>
          <w:shd w:val="clear" w:color="auto" w:fill="FFFFFF"/>
        </w:rPr>
        <w:t>2025 年有望达到 3186 亿元人民币</w:t>
      </w:r>
      <w:r>
        <w:rPr>
          <w:rStyle w:val="13"/>
          <w:rFonts w:cs="Times New Roman"/>
          <w:color w:val="1A1C1E"/>
          <w:shd w:val="clear" w:color="auto" w:fill="FFFFFF"/>
        </w:rPr>
        <w:t>（来源：艾媒咨询、开源证券研究所），具备巨大的长期增长潜力</w:t>
      </w:r>
      <w:r>
        <w:rPr>
          <w:rStyle w:val="13"/>
          <w:rFonts w:cs="Times New Roman"/>
          <w:color w:val="1A1C1E"/>
          <w:sz w:val="21"/>
          <w:szCs w:val="21"/>
          <w:shd w:val="clear" w:color="auto" w:fill="FFFFFF"/>
        </w:rPr>
        <w:t>。</w:t>
      </w:r>
    </w:p>
    <w:p w14:paraId="5612D2C0">
      <w:pPr>
        <w:widowControl/>
        <w:shd w:val="clear" w:color="auto" w:fill="FFFFFF"/>
        <w:spacing w:after="45" w:line="300" w:lineRule="atLeast"/>
        <w:ind w:firstLine="480"/>
        <w:jc w:val="left"/>
        <w:rPr>
          <w:rFonts w:cs="Times New Roman"/>
          <w:color w:val="1A1C1E"/>
          <w:kern w:val="0"/>
          <w:szCs w:val="21"/>
        </w:rPr>
      </w:pPr>
      <w:r>
        <w:rPr>
          <w:rFonts w:cs="Times New Roman"/>
          <w:color w:val="1A1C1E"/>
          <w:kern w:val="0"/>
          <w:szCs w:val="21"/>
        </w:rPr>
        <w:drawing>
          <wp:inline distT="0" distB="0" distL="0" distR="0">
            <wp:extent cx="5274310" cy="2038350"/>
            <wp:effectExtent l="0" t="0" r="8890" b="190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4310" cy="2038350"/>
                    </a:xfrm>
                    <a:prstGeom prst="rect">
                      <a:avLst/>
                    </a:prstGeom>
                  </pic:spPr>
                </pic:pic>
              </a:graphicData>
            </a:graphic>
          </wp:inline>
        </w:drawing>
      </w:r>
    </w:p>
    <w:p w14:paraId="69EEEB77">
      <w:pPr>
        <w:pStyle w:val="12"/>
        <w:widowControl/>
        <w:numPr>
          <w:ilvl w:val="0"/>
          <w:numId w:val="6"/>
        </w:numPr>
        <w:shd w:val="clear" w:color="auto" w:fill="FFFFFF"/>
        <w:spacing w:after="45" w:line="300" w:lineRule="atLeast"/>
        <w:ind w:firstLineChars="0"/>
        <w:jc w:val="left"/>
        <w:rPr>
          <w:rStyle w:val="13"/>
          <w:rFonts w:cs="Times New Roman"/>
          <w:b/>
          <w:bCs/>
          <w:color w:val="1A1C1E"/>
          <w:shd w:val="clear" w:color="auto" w:fill="FFFFFF"/>
        </w:rPr>
      </w:pPr>
      <w:r>
        <w:rPr>
          <w:rStyle w:val="13"/>
          <w:rFonts w:cs="Times New Roman"/>
          <w:b/>
          <w:bCs/>
          <w:color w:val="1A1C1E"/>
          <w:shd w:val="clear" w:color="auto" w:fill="FFFFFF"/>
        </w:rPr>
        <w:t>渠道趋势：</w:t>
      </w:r>
    </w:p>
    <w:p w14:paraId="1C9285E8">
      <w:pPr>
        <w:widowControl/>
        <w:shd w:val="clear" w:color="auto" w:fill="FFFFFF"/>
        <w:spacing w:after="45" w:line="300" w:lineRule="atLeast"/>
        <w:ind w:left="420" w:firstLine="0" w:firstLineChars="0"/>
        <w:jc w:val="left"/>
        <w:rPr>
          <w:rStyle w:val="13"/>
          <w:rFonts w:cs="Times New Roman"/>
          <w:b/>
          <w:bCs/>
          <w:color w:val="1A1C1E"/>
          <w:szCs w:val="21"/>
          <w:shd w:val="clear" w:color="auto" w:fill="FFFFFF"/>
        </w:rPr>
      </w:pPr>
      <w:r>
        <w:rPr>
          <w:rStyle w:val="13"/>
          <w:rFonts w:cs="Times New Roman"/>
          <w:b/>
          <w:bCs/>
          <w:color w:val="1A1C1E"/>
          <w:szCs w:val="21"/>
          <w:shd w:val="clear" w:color="auto" w:fill="FFFFFF"/>
        </w:rPr>
        <w:drawing>
          <wp:inline distT="0" distB="0" distL="0" distR="0">
            <wp:extent cx="5003800" cy="2146300"/>
            <wp:effectExtent l="0" t="0" r="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003800" cy="2146300"/>
                    </a:xfrm>
                    <a:prstGeom prst="rect">
                      <a:avLst/>
                    </a:prstGeom>
                  </pic:spPr>
                </pic:pic>
              </a:graphicData>
            </a:graphic>
          </wp:inline>
        </w:drawing>
      </w:r>
    </w:p>
    <w:p w14:paraId="0C14D8CF">
      <w:pPr>
        <w:widowControl/>
        <w:shd w:val="clear" w:color="auto" w:fill="FFFFFF"/>
        <w:spacing w:after="45" w:line="300" w:lineRule="atLeast"/>
        <w:ind w:firstLine="482"/>
        <w:jc w:val="left"/>
        <w:rPr>
          <w:rFonts w:cs="Times New Roman"/>
          <w:color w:val="1A1C1E"/>
          <w:kern w:val="0"/>
          <w:szCs w:val="21"/>
        </w:rPr>
      </w:pPr>
      <w:r>
        <w:rPr>
          <w:rFonts w:cs="Times New Roman"/>
          <w:b/>
          <w:bCs/>
          <w:color w:val="1A1C1E"/>
          <w:kern w:val="0"/>
          <w:szCs w:val="21"/>
        </w:rPr>
        <w:t>线上购买主导：</w:t>
      </w:r>
      <w:r>
        <w:rPr>
          <w:rFonts w:cs="Times New Roman"/>
          <w:color w:val="1A1C1E"/>
          <w:kern w:val="0"/>
          <w:szCs w:val="21"/>
        </w:rPr>
        <w:t> 如图表所示（来源：央广网、开源证券研究所），</w:t>
      </w:r>
      <w:r>
        <w:rPr>
          <w:rFonts w:cs="Times New Roman"/>
          <w:b/>
          <w:bCs/>
          <w:color w:val="1A1C1E"/>
          <w:kern w:val="0"/>
          <w:szCs w:val="21"/>
        </w:rPr>
        <w:t>70% 的消费者更趋于通过线上平台购买化妆品</w:t>
      </w:r>
      <w:r>
        <w:rPr>
          <w:rFonts w:cs="Times New Roman"/>
          <w:color w:val="1A1C1E"/>
          <w:kern w:val="0"/>
          <w:szCs w:val="21"/>
        </w:rPr>
        <w:t>，而在线下实体店购买的消费者仅占 30%。</w:t>
      </w:r>
    </w:p>
    <w:p w14:paraId="7853EF65">
      <w:pPr>
        <w:widowControl/>
        <w:shd w:val="clear" w:color="auto" w:fill="FFFFFF"/>
        <w:spacing w:after="45" w:line="300" w:lineRule="atLeast"/>
        <w:ind w:firstLine="482"/>
        <w:jc w:val="left"/>
        <w:rPr>
          <w:rFonts w:cs="Times New Roman"/>
          <w:color w:val="1A1C1E"/>
          <w:kern w:val="0"/>
          <w:szCs w:val="21"/>
        </w:rPr>
      </w:pPr>
      <w:r>
        <w:rPr>
          <w:rFonts w:cs="Times New Roman"/>
          <w:b/>
          <w:bCs/>
          <w:color w:val="1A1C1E"/>
          <w:kern w:val="0"/>
          <w:szCs w:val="21"/>
        </w:rPr>
        <w:t>战略意义：</w:t>
      </w:r>
      <w:r>
        <w:rPr>
          <w:rFonts w:cs="Times New Roman"/>
          <w:color w:val="1A1C1E"/>
          <w:kern w:val="0"/>
          <w:szCs w:val="21"/>
        </w:rPr>
        <w:t> 这一数据明确将市场重心定位于线上。“肌智管家”作为一款移动应用，其商业模式天然契合这一主流、高增长的线上消费渠道，是实现获客和销售导流的战略基础。</w:t>
      </w:r>
    </w:p>
    <w:p w14:paraId="33F5F03B">
      <w:pPr>
        <w:pStyle w:val="12"/>
        <w:widowControl/>
        <w:numPr>
          <w:ilvl w:val="0"/>
          <w:numId w:val="6"/>
        </w:numPr>
        <w:shd w:val="clear" w:color="auto" w:fill="FFFFFF"/>
        <w:spacing w:after="45" w:line="300" w:lineRule="atLeast"/>
        <w:ind w:firstLineChars="0"/>
        <w:jc w:val="left"/>
        <w:rPr>
          <w:rStyle w:val="13"/>
          <w:rFonts w:cs="Times New Roman"/>
          <w:b/>
          <w:bCs/>
          <w:color w:val="1A1C1E"/>
          <w:shd w:val="clear" w:color="auto" w:fill="FFFFFF"/>
        </w:rPr>
      </w:pPr>
      <w:r>
        <w:rPr>
          <w:rStyle w:val="13"/>
          <w:rFonts w:cs="Times New Roman"/>
          <w:b/>
          <w:bCs/>
          <w:color w:val="1A1C1E"/>
          <w:shd w:val="clear" w:color="auto" w:fill="FFFFFF"/>
        </w:rPr>
        <w:t>消费趋势：功效驱动、科学定制与科技升级：</w:t>
      </w:r>
    </w:p>
    <w:p w14:paraId="2363E713">
      <w:pPr>
        <w:widowControl/>
        <w:shd w:val="clear" w:color="auto" w:fill="FFFFFF"/>
        <w:spacing w:after="45" w:line="300" w:lineRule="atLeast"/>
        <w:ind w:left="420" w:firstLine="0" w:firstLineChars="0"/>
        <w:jc w:val="left"/>
        <w:rPr>
          <w:rFonts w:cs="Times New Roman"/>
          <w:b/>
          <w:bCs/>
          <w:color w:val="1A1C1E"/>
          <w:kern w:val="0"/>
          <w:szCs w:val="21"/>
        </w:rPr>
      </w:pPr>
      <w:r>
        <w:rPr>
          <w:rFonts w:cs="Times New Roman"/>
        </w:rPr>
        <w:drawing>
          <wp:inline distT="0" distB="0" distL="0" distR="0">
            <wp:extent cx="5274310" cy="2033905"/>
            <wp:effectExtent l="0" t="0" r="8890" b="234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4310" cy="2033905"/>
                    </a:xfrm>
                    <a:prstGeom prst="rect">
                      <a:avLst/>
                    </a:prstGeom>
                  </pic:spPr>
                </pic:pic>
              </a:graphicData>
            </a:graphic>
          </wp:inline>
        </w:drawing>
      </w:r>
    </w:p>
    <w:p w14:paraId="30B4B0F2">
      <w:pPr>
        <w:widowControl/>
        <w:shd w:val="clear" w:color="auto" w:fill="FFFFFF"/>
        <w:spacing w:after="45" w:line="300" w:lineRule="atLeast"/>
        <w:ind w:firstLine="482"/>
        <w:jc w:val="left"/>
        <w:rPr>
          <w:rFonts w:cs="Times New Roman"/>
          <w:color w:val="1A1C1E"/>
          <w:kern w:val="0"/>
          <w:szCs w:val="21"/>
        </w:rPr>
      </w:pPr>
      <w:r>
        <w:rPr>
          <w:rFonts w:cs="Times New Roman"/>
          <w:b/>
          <w:bCs/>
          <w:color w:val="1A1C1E"/>
          <w:kern w:val="0"/>
          <w:szCs w:val="21"/>
        </w:rPr>
        <w:t>功效护肤成主流：</w:t>
      </w:r>
      <w:r>
        <w:rPr>
          <w:rFonts w:cs="Times New Roman"/>
          <w:color w:val="1A1C1E"/>
          <w:kern w:val="0"/>
          <w:szCs w:val="21"/>
        </w:rPr>
        <w:t> 市场经营主体科技水平持续提高，以应对消费者对</w:t>
      </w:r>
      <w:r>
        <w:rPr>
          <w:rFonts w:cs="Times New Roman"/>
          <w:b/>
          <w:bCs/>
          <w:color w:val="1A1C1E"/>
          <w:kern w:val="0"/>
          <w:szCs w:val="21"/>
        </w:rPr>
        <w:t>细分产品功效和成分</w:t>
      </w:r>
      <w:r>
        <w:rPr>
          <w:rFonts w:cs="Times New Roman"/>
          <w:color w:val="1A1C1E"/>
          <w:kern w:val="0"/>
          <w:szCs w:val="21"/>
        </w:rPr>
        <w:t>的个性化、多样化需求。</w:t>
      </w:r>
      <w:r>
        <w:rPr>
          <w:rFonts w:cs="Times New Roman"/>
          <w:b/>
          <w:bCs/>
          <w:color w:val="1A1C1E"/>
          <w:kern w:val="0"/>
          <w:szCs w:val="21"/>
        </w:rPr>
        <w:t>“成分”科学护肤需求不断增强，功效护肤观念深入人心</w:t>
      </w:r>
      <w:r>
        <w:rPr>
          <w:rFonts w:cs="Times New Roman"/>
          <w:color w:val="1A1C1E"/>
          <w:kern w:val="0"/>
          <w:szCs w:val="21"/>
        </w:rPr>
        <w:t>。这直接驱动了功效护肤品市场的高速发展。</w:t>
      </w:r>
    </w:p>
    <w:p w14:paraId="54375EA4">
      <w:pPr>
        <w:widowControl/>
        <w:shd w:val="clear" w:color="auto" w:fill="FFFFFF"/>
        <w:spacing w:after="45" w:line="300" w:lineRule="atLeast"/>
        <w:ind w:firstLine="482"/>
        <w:jc w:val="left"/>
        <w:rPr>
          <w:rFonts w:cs="Times New Roman"/>
          <w:color w:val="1A1C1E"/>
          <w:kern w:val="0"/>
          <w:szCs w:val="21"/>
        </w:rPr>
      </w:pPr>
      <w:r>
        <w:rPr>
          <w:rFonts w:cs="Times New Roman"/>
          <w:b/>
          <w:bCs/>
          <w:color w:val="1A1C1E"/>
          <w:kern w:val="0"/>
          <w:szCs w:val="21"/>
        </w:rPr>
        <w:t>AI与互联网医疗赋能：</w:t>
      </w:r>
      <w:r>
        <w:rPr>
          <w:rFonts w:cs="Times New Roman"/>
          <w:color w:val="1A1C1E"/>
          <w:kern w:val="0"/>
          <w:szCs w:val="21"/>
        </w:rPr>
        <w:t> 尽管线上购买普及，但消费者在功效护肤方面急需一个</w:t>
      </w:r>
      <w:r>
        <w:rPr>
          <w:rFonts w:cs="Times New Roman"/>
          <w:b/>
          <w:bCs/>
          <w:color w:val="1A1C1E"/>
          <w:kern w:val="0"/>
          <w:szCs w:val="21"/>
        </w:rPr>
        <w:t>权威、精准的数据中枢</w:t>
      </w:r>
      <w:r>
        <w:rPr>
          <w:rFonts w:cs="Times New Roman"/>
          <w:color w:val="1A1C1E"/>
          <w:kern w:val="0"/>
          <w:szCs w:val="21"/>
        </w:rPr>
        <w:t>来指导消费。“肌智管家”正是抓住这一痛点，通过 </w:t>
      </w:r>
      <w:r>
        <w:rPr>
          <w:rFonts w:cs="Times New Roman"/>
          <w:b/>
          <w:bCs/>
          <w:color w:val="1A1C1E"/>
          <w:kern w:val="0"/>
          <w:szCs w:val="21"/>
        </w:rPr>
        <w:t>AI 诊断</w:t>
      </w:r>
      <w:r>
        <w:rPr>
          <w:rFonts w:cs="Times New Roman"/>
          <w:color w:val="1A1C1E"/>
          <w:kern w:val="0"/>
          <w:szCs w:val="21"/>
        </w:rPr>
        <w:t>连接了消费者对功效和科学护肤的强烈需求，并利用 </w:t>
      </w:r>
      <w:r>
        <w:rPr>
          <w:rFonts w:cs="Times New Roman"/>
          <w:b/>
          <w:bCs/>
          <w:color w:val="1A1C1E"/>
          <w:kern w:val="0"/>
          <w:szCs w:val="21"/>
        </w:rPr>
        <w:t>4.18 亿</w:t>
      </w:r>
      <w:r>
        <w:rPr>
          <w:rFonts w:cs="Times New Roman"/>
          <w:color w:val="1A1C1E"/>
          <w:kern w:val="0"/>
          <w:szCs w:val="21"/>
        </w:rPr>
        <w:t>互联网医疗用户基础，将线上流量转化为专业的健康管理服务。</w:t>
      </w:r>
    </w:p>
    <w:p w14:paraId="36520C39">
      <w:pPr>
        <w:pStyle w:val="4"/>
        <w:ind w:firstLineChars="0"/>
        <w:rPr>
          <w:rFonts w:cs="Times New Roman"/>
          <w:sz w:val="28"/>
          <w:szCs w:val="28"/>
        </w:rPr>
      </w:pPr>
      <w:r>
        <w:rPr>
          <w:rFonts w:cs="Times New Roman"/>
          <w:sz w:val="28"/>
          <w:szCs w:val="28"/>
        </w:rPr>
        <w:t>3.1.2 目标市场定位与规模</w:t>
      </w:r>
    </w:p>
    <w:p w14:paraId="21EE2426">
      <w:pPr>
        <w:widowControl/>
        <w:shd w:val="clear" w:color="auto" w:fill="FFFFFF"/>
        <w:adjustRightInd w:val="0"/>
        <w:snapToGrid w:val="0"/>
        <w:spacing w:line="276" w:lineRule="auto"/>
        <w:ind w:firstLine="480"/>
        <w:jc w:val="left"/>
        <w:rPr>
          <w:rFonts w:cs="Times New Roman"/>
          <w:color w:val="1A1C1E"/>
          <w:kern w:val="0"/>
          <w:szCs w:val="21"/>
        </w:rPr>
      </w:pPr>
      <w:r>
        <w:rPr>
          <w:rFonts w:cs="Times New Roman"/>
          <w:color w:val="1A1C1E"/>
          <w:kern w:val="0"/>
          <w:szCs w:val="21"/>
        </w:rPr>
        <w:t>本项目的目标市场集中于“AI驱动的智能皮肤健康管理”</w:t>
      </w:r>
      <w:r>
        <w:rPr>
          <w:rFonts w:cs="Times New Roman"/>
          <w:b/>
          <w:bCs/>
          <w:color w:val="1A1C1E"/>
          <w:kern w:val="0"/>
          <w:szCs w:val="21"/>
        </w:rPr>
        <w:t>与</w:t>
      </w:r>
      <w:r>
        <w:rPr>
          <w:rFonts w:cs="Times New Roman"/>
          <w:color w:val="1A1C1E"/>
          <w:kern w:val="0"/>
          <w:szCs w:val="21"/>
        </w:rPr>
        <w:t>“线上皮肤专科服务”的交叉领域，旨在抓住万亿级美妆市场中，线上渠道主导和功效护肤两大高增长赛道的交集。</w:t>
      </w:r>
    </w:p>
    <w:p w14:paraId="2E62C167">
      <w:pPr>
        <w:widowControl/>
        <w:shd w:val="clear" w:color="auto" w:fill="FFFFFF"/>
        <w:spacing w:line="300" w:lineRule="atLeast"/>
        <w:ind w:firstLine="482"/>
        <w:jc w:val="left"/>
        <w:rPr>
          <w:rFonts w:cs="Times New Roman"/>
          <w:color w:val="1A1C1E"/>
          <w:kern w:val="0"/>
          <w:szCs w:val="21"/>
        </w:rPr>
      </w:pPr>
      <w:r>
        <w:rPr>
          <w:rFonts w:cs="Times New Roman"/>
          <w:b/>
          <w:bCs/>
          <w:color w:val="1A1C1E"/>
          <w:kern w:val="0"/>
          <w:szCs w:val="21"/>
        </w:rPr>
        <w:t>市场规模潜力：</w:t>
      </w:r>
      <w:r>
        <w:rPr>
          <w:rFonts w:cs="Times New Roman"/>
          <w:color w:val="1A1C1E"/>
          <w:kern w:val="0"/>
          <w:szCs w:val="21"/>
        </w:rPr>
        <w:t> 凭借 2024 年 </w:t>
      </w:r>
      <w:r>
        <w:rPr>
          <w:rFonts w:cs="Times New Roman"/>
          <w:b/>
          <w:bCs/>
          <w:color w:val="1A1C1E"/>
          <w:kern w:val="0"/>
          <w:szCs w:val="21"/>
        </w:rPr>
        <w:t>10738.22 亿元</w:t>
      </w:r>
      <w:r>
        <w:rPr>
          <w:rFonts w:cs="Times New Roman"/>
          <w:color w:val="1A1C1E"/>
          <w:kern w:val="0"/>
          <w:szCs w:val="21"/>
        </w:rPr>
        <w:t> 的化妆品交易总额、2025 年护肤品市场 </w:t>
      </w:r>
      <w:r>
        <w:rPr>
          <w:rFonts w:cs="Times New Roman"/>
          <w:b/>
          <w:bCs/>
          <w:color w:val="1A1C1E"/>
          <w:kern w:val="0"/>
          <w:szCs w:val="21"/>
        </w:rPr>
        <w:t>3186 亿元</w:t>
      </w:r>
      <w:r>
        <w:rPr>
          <w:rFonts w:cs="Times New Roman"/>
          <w:color w:val="1A1C1E"/>
          <w:kern w:val="0"/>
          <w:szCs w:val="21"/>
        </w:rPr>
        <w:t> 的规模，以及 </w:t>
      </w:r>
      <w:r>
        <w:rPr>
          <w:rFonts w:cs="Times New Roman"/>
          <w:b/>
          <w:bCs/>
          <w:color w:val="1A1C1E"/>
          <w:kern w:val="0"/>
          <w:szCs w:val="21"/>
        </w:rPr>
        <w:t>70%</w:t>
      </w:r>
      <w:r>
        <w:rPr>
          <w:rFonts w:cs="Times New Roman"/>
          <w:color w:val="1A1C1E"/>
          <w:kern w:val="0"/>
          <w:szCs w:val="21"/>
        </w:rPr>
        <w:t> 的消费者倾向于线上购买这一强大的渠道基础，本平台拥有巨大的商业化空间。</w:t>
      </w:r>
    </w:p>
    <w:p w14:paraId="1ACCB457">
      <w:pPr>
        <w:widowControl/>
        <w:shd w:val="clear" w:color="auto" w:fill="FFFFFF"/>
        <w:spacing w:after="45" w:line="300" w:lineRule="atLeast"/>
        <w:ind w:firstLine="482"/>
        <w:jc w:val="left"/>
        <w:rPr>
          <w:rFonts w:cs="Times New Roman"/>
          <w:color w:val="1A1C1E"/>
          <w:kern w:val="0"/>
          <w:szCs w:val="21"/>
        </w:rPr>
      </w:pPr>
      <w:r>
        <w:rPr>
          <w:rFonts w:cs="Times New Roman"/>
          <w:b/>
          <w:bCs/>
          <w:color w:val="1A1C1E"/>
          <w:kern w:val="0"/>
          <w:szCs w:val="21"/>
        </w:rPr>
        <w:t>价值定位：</w:t>
      </w:r>
      <w:r>
        <w:rPr>
          <w:rFonts w:cs="Times New Roman"/>
          <w:color w:val="1A1C1E"/>
          <w:kern w:val="0"/>
          <w:szCs w:val="21"/>
        </w:rPr>
        <w:t> “肌智管家”以</w:t>
      </w:r>
      <w:r>
        <w:rPr>
          <w:rFonts w:cs="Times New Roman"/>
          <w:b/>
          <w:bCs/>
          <w:color w:val="1A1C1E"/>
          <w:kern w:val="0"/>
          <w:szCs w:val="21"/>
        </w:rPr>
        <w:t>数据驱动</w:t>
      </w:r>
      <w:r>
        <w:rPr>
          <w:rFonts w:cs="Times New Roman"/>
          <w:color w:val="1A1C1E"/>
          <w:kern w:val="0"/>
          <w:szCs w:val="21"/>
        </w:rPr>
        <w:t>的解决方案，抢占科学护肤管理和远程皮肤专科服务的先发优势，建立起</w:t>
      </w:r>
      <w:r>
        <w:rPr>
          <w:rFonts w:cs="Times New Roman"/>
          <w:b/>
          <w:bCs/>
          <w:color w:val="1A1C1E"/>
          <w:kern w:val="0"/>
          <w:szCs w:val="21"/>
        </w:rPr>
        <w:t>技术壁垒</w:t>
      </w:r>
      <w:r>
        <w:rPr>
          <w:rFonts w:cs="Times New Roman"/>
          <w:color w:val="1A1C1E"/>
          <w:kern w:val="0"/>
          <w:szCs w:val="21"/>
        </w:rPr>
        <w:t>与</w:t>
      </w:r>
      <w:r>
        <w:rPr>
          <w:rFonts w:cs="Times New Roman"/>
          <w:b/>
          <w:bCs/>
          <w:color w:val="1A1C1E"/>
          <w:kern w:val="0"/>
          <w:szCs w:val="21"/>
        </w:rPr>
        <w:t>服务闭环</w:t>
      </w:r>
      <w:r>
        <w:rPr>
          <w:rFonts w:cs="Times New Roman"/>
          <w:color w:val="1A1C1E"/>
          <w:kern w:val="0"/>
          <w:szCs w:val="21"/>
        </w:rPr>
        <w:t>。</w:t>
      </w:r>
    </w:p>
    <w:p w14:paraId="1DA992C4">
      <w:pPr>
        <w:widowControl/>
        <w:jc w:val="left"/>
        <w:rPr>
          <w:rFonts w:cs="Times New Roman"/>
        </w:rPr>
      </w:pPr>
    </w:p>
    <w:p w14:paraId="4AD67FDD">
      <w:pPr>
        <w:pStyle w:val="3"/>
      </w:pPr>
      <w:r>
        <w:rPr>
          <w:rStyle w:val="13"/>
        </w:rPr>
        <w:t>3.2 目标用户画像</w:t>
      </w:r>
    </w:p>
    <w:p w14:paraId="02F0F4CD">
      <w:pPr>
        <w:widowControl/>
        <w:shd w:val="clear" w:color="auto" w:fill="FFFFFF"/>
        <w:spacing w:before="100" w:beforeAutospacing="1" w:after="270" w:line="300" w:lineRule="atLeast"/>
        <w:ind w:firstLine="480"/>
        <w:jc w:val="left"/>
        <w:rPr>
          <w:rFonts w:cs="Times New Roman"/>
          <w:color w:val="1A1C1E"/>
          <w:kern w:val="0"/>
          <w:szCs w:val="21"/>
        </w:rPr>
      </w:pPr>
      <w:r>
        <w:rPr>
          <w:rFonts w:cs="Times New Roman"/>
          <w:color w:val="1A1C1E"/>
          <w:kern w:val="0"/>
          <w:szCs w:val="21"/>
        </w:rPr>
        <w:t>本项目的目标用户群体集中在对美妆护肤有强烈需求，同时渴望获得</w:t>
      </w:r>
      <w:r>
        <w:rPr>
          <w:rFonts w:cs="Times New Roman"/>
          <w:b/>
          <w:bCs/>
          <w:color w:val="1A1C1E"/>
          <w:kern w:val="0"/>
          <w:szCs w:val="21"/>
        </w:rPr>
        <w:t>科学、精准、个性化</w:t>
      </w:r>
      <w:r>
        <w:rPr>
          <w:rFonts w:cs="Times New Roman"/>
          <w:color w:val="1A1C1E"/>
          <w:kern w:val="0"/>
          <w:szCs w:val="21"/>
        </w:rPr>
        <w:t>服务的年轻、高数字化渗透率人群。根据其消费行为和痛点，我们划分为以下几类：</w:t>
      </w:r>
    </w:p>
    <w:p w14:paraId="14ED790F">
      <w:pPr>
        <w:pStyle w:val="4"/>
        <w:ind w:firstLine="562"/>
        <w:rPr>
          <w:rFonts w:cs="Times New Roman"/>
          <w:color w:val="1A1C1E"/>
          <w:sz w:val="28"/>
          <w:szCs w:val="28"/>
        </w:rPr>
      </w:pPr>
      <w:r>
        <w:rPr>
          <w:rFonts w:cs="Times New Roman"/>
          <w:sz w:val="28"/>
          <w:szCs w:val="28"/>
        </w:rPr>
        <w:t>3.2.1 核心用户群</w:t>
      </w:r>
    </w:p>
    <w:p w14:paraId="6DEAB43F">
      <w:pPr>
        <w:widowControl/>
        <w:shd w:val="clear" w:color="auto" w:fill="FFFFFF"/>
        <w:spacing w:after="45" w:line="300" w:lineRule="atLeast"/>
        <w:ind w:firstLine="0" w:firstLineChars="0"/>
        <w:jc w:val="left"/>
        <w:rPr>
          <w:rFonts w:cs="Times New Roman"/>
          <w:color w:val="1A1C1E"/>
          <w:kern w:val="0"/>
          <w:szCs w:val="21"/>
        </w:rPr>
      </w:pPr>
      <w:r>
        <w:rPr>
          <w:rFonts w:cs="Times New Roman"/>
          <w:b/>
          <w:bCs/>
          <w:color w:val="1A1C1E"/>
          <w:kern w:val="0"/>
          <w:szCs w:val="21"/>
        </w:rPr>
        <w:t>精致白领 Lily (18-35岁) / 进阶护肤者：</w:t>
      </w:r>
    </w:p>
    <w:p w14:paraId="64DFE8DF">
      <w:pPr>
        <w:widowControl/>
        <w:shd w:val="clear" w:color="auto" w:fill="FFFFFF"/>
        <w:spacing w:after="45" w:line="300" w:lineRule="atLeast"/>
        <w:ind w:firstLine="482"/>
        <w:jc w:val="left"/>
        <w:rPr>
          <w:rFonts w:cs="Times New Roman"/>
          <w:color w:val="1A1C1E"/>
          <w:kern w:val="0"/>
          <w:szCs w:val="21"/>
        </w:rPr>
      </w:pPr>
      <w:r>
        <w:rPr>
          <w:rFonts w:cs="Times New Roman"/>
          <w:b/>
          <w:bCs/>
          <w:color w:val="1A1C1E"/>
          <w:kern w:val="0"/>
          <w:szCs w:val="21"/>
        </w:rPr>
        <w:t>画像：</w:t>
      </w:r>
      <w:r>
        <w:rPr>
          <w:rFonts w:cs="Times New Roman"/>
          <w:color w:val="1A1C1E"/>
          <w:kern w:val="0"/>
          <w:szCs w:val="21"/>
        </w:rPr>
        <w:t> 上班族或在校大学生，对皮肤有较高热情，愿意尝试新科技，对社交媒体依赖度高。</w:t>
      </w:r>
    </w:p>
    <w:p w14:paraId="6E1DAC2D">
      <w:pPr>
        <w:widowControl/>
        <w:shd w:val="clear" w:color="auto" w:fill="FFFFFF"/>
        <w:spacing w:after="45" w:line="300" w:lineRule="atLeast"/>
        <w:ind w:firstLine="482"/>
        <w:jc w:val="left"/>
        <w:rPr>
          <w:rFonts w:cs="Times New Roman"/>
          <w:color w:val="1A1C1E"/>
          <w:kern w:val="0"/>
          <w:szCs w:val="21"/>
        </w:rPr>
      </w:pPr>
      <w:r>
        <w:rPr>
          <w:rFonts w:cs="Times New Roman"/>
          <w:b/>
          <w:bCs/>
          <w:color w:val="1A1C1E"/>
          <w:kern w:val="0"/>
          <w:szCs w:val="21"/>
        </w:rPr>
        <w:t>痛点：</w:t>
      </w:r>
      <w:r>
        <w:rPr>
          <w:rFonts w:cs="Times New Roman"/>
          <w:color w:val="1A1C1E"/>
          <w:kern w:val="0"/>
          <w:szCs w:val="21"/>
        </w:rPr>
        <w:t> 熬夜、压力导致皮肤不稳定；尝试过多种“网红”护肤品效果不佳；需要一个</w:t>
      </w:r>
      <w:r>
        <w:rPr>
          <w:rFonts w:cs="Times New Roman"/>
          <w:b/>
          <w:bCs/>
          <w:color w:val="1A1C1E"/>
          <w:kern w:val="0"/>
          <w:szCs w:val="21"/>
        </w:rPr>
        <w:t>科学、高效</w:t>
      </w:r>
      <w:r>
        <w:rPr>
          <w:rFonts w:cs="Times New Roman"/>
          <w:color w:val="1A1C1E"/>
          <w:kern w:val="0"/>
          <w:szCs w:val="21"/>
        </w:rPr>
        <w:t>的皮肤问题解决方案，希望了解自己的皮肤数据变化。</w:t>
      </w:r>
    </w:p>
    <w:p w14:paraId="2D7640D4">
      <w:pPr>
        <w:widowControl/>
        <w:shd w:val="clear" w:color="auto" w:fill="FFFFFF"/>
        <w:spacing w:after="45" w:line="300" w:lineRule="atLeast"/>
        <w:ind w:firstLine="482"/>
        <w:jc w:val="left"/>
        <w:rPr>
          <w:rFonts w:cs="Times New Roman"/>
          <w:color w:val="1A1C1E"/>
          <w:kern w:val="0"/>
          <w:szCs w:val="21"/>
        </w:rPr>
      </w:pPr>
      <w:r>
        <w:rPr>
          <w:rFonts w:cs="Times New Roman"/>
          <w:b/>
          <w:bCs/>
          <w:color w:val="1A1C1E"/>
          <w:kern w:val="0"/>
          <w:szCs w:val="21"/>
        </w:rPr>
        <w:t>价值需求：</w:t>
      </w:r>
      <w:r>
        <w:rPr>
          <w:rFonts w:cs="Times New Roman"/>
          <w:color w:val="1A1C1E"/>
          <w:kern w:val="0"/>
          <w:szCs w:val="21"/>
        </w:rPr>
        <w:t> 追求通过 </w:t>
      </w:r>
      <w:r>
        <w:rPr>
          <w:rFonts w:cs="Times New Roman"/>
          <w:b/>
          <w:bCs/>
          <w:color w:val="1A1C1E"/>
          <w:kern w:val="0"/>
          <w:szCs w:val="21"/>
        </w:rPr>
        <w:t>AI监测和专业建议</w:t>
      </w:r>
      <w:r>
        <w:rPr>
          <w:rFonts w:cs="Times New Roman"/>
          <w:color w:val="1A1C1E"/>
          <w:kern w:val="0"/>
          <w:szCs w:val="21"/>
        </w:rPr>
        <w:t>，找到适合自己的肤质和生活节奏的</w:t>
      </w:r>
      <w:r>
        <w:rPr>
          <w:rFonts w:cs="Times New Roman"/>
          <w:b/>
          <w:bCs/>
          <w:color w:val="1A1C1E"/>
          <w:kern w:val="0"/>
          <w:szCs w:val="21"/>
        </w:rPr>
        <w:t>系统性</w:t>
      </w:r>
      <w:r>
        <w:rPr>
          <w:rFonts w:cs="Times New Roman"/>
          <w:color w:val="1A1C1E"/>
          <w:kern w:val="0"/>
          <w:szCs w:val="21"/>
        </w:rPr>
        <w:t>护肤方案，并动态追踪效果。</w:t>
      </w:r>
    </w:p>
    <w:p w14:paraId="4FB89759">
      <w:pPr>
        <w:pStyle w:val="4"/>
        <w:ind w:firstLine="562"/>
        <w:rPr>
          <w:rFonts w:cs="Times New Roman"/>
          <w:sz w:val="28"/>
          <w:szCs w:val="28"/>
        </w:rPr>
      </w:pPr>
      <w:r>
        <w:rPr>
          <w:rFonts w:cs="Times New Roman"/>
          <w:sz w:val="28"/>
          <w:szCs w:val="28"/>
        </w:rPr>
        <w:t>3.2.2 新增用户群体：新手入门党</w:t>
      </w:r>
    </w:p>
    <w:p w14:paraId="6DE6B8B7">
      <w:pPr>
        <w:widowControl/>
        <w:shd w:val="clear" w:color="auto" w:fill="FFFFFF"/>
        <w:spacing w:after="45" w:line="300" w:lineRule="atLeast"/>
        <w:ind w:firstLine="0" w:firstLineChars="0"/>
        <w:jc w:val="left"/>
        <w:rPr>
          <w:rFonts w:cs="Times New Roman"/>
          <w:color w:val="1A1C1E"/>
          <w:kern w:val="0"/>
          <w:szCs w:val="21"/>
        </w:rPr>
      </w:pPr>
      <w:r>
        <w:rPr>
          <w:rFonts w:cs="Times New Roman"/>
          <w:b/>
          <w:bCs/>
          <w:color w:val="1A1C1E"/>
          <w:kern w:val="0"/>
          <w:szCs w:val="21"/>
        </w:rPr>
        <w:t>画像：学生小希 (16-25岁) / 护肤小白：</w:t>
      </w:r>
    </w:p>
    <w:p w14:paraId="38B194B0">
      <w:pPr>
        <w:widowControl/>
        <w:shd w:val="clear" w:color="auto" w:fill="FFFFFF"/>
        <w:spacing w:after="45" w:line="300" w:lineRule="atLeast"/>
        <w:ind w:firstLine="482"/>
        <w:jc w:val="left"/>
        <w:rPr>
          <w:rFonts w:cs="Times New Roman"/>
          <w:color w:val="1A1C1E"/>
          <w:kern w:val="0"/>
          <w:szCs w:val="21"/>
        </w:rPr>
      </w:pPr>
      <w:r>
        <w:rPr>
          <w:rFonts w:cs="Times New Roman"/>
          <w:b/>
          <w:bCs/>
          <w:color w:val="1A1C1E"/>
          <w:kern w:val="0"/>
          <w:szCs w:val="21"/>
        </w:rPr>
        <w:t>背景：</w:t>
      </w:r>
      <w:r>
        <w:rPr>
          <w:rFonts w:cs="Times New Roman"/>
          <w:color w:val="1A1C1E"/>
          <w:kern w:val="0"/>
          <w:szCs w:val="21"/>
        </w:rPr>
        <w:t> 刚开始对护肤产生兴趣，或面临青春期/大学期皮肤问题（如痘痘），但预算相对有限，面对海量信息感到迷茫，容易被 KOC/KOL 种草。</w:t>
      </w:r>
    </w:p>
    <w:p w14:paraId="64BFB9DB">
      <w:pPr>
        <w:widowControl/>
        <w:shd w:val="clear" w:color="auto" w:fill="FFFFFF"/>
        <w:spacing w:after="45" w:line="300" w:lineRule="atLeast"/>
        <w:ind w:firstLine="482"/>
        <w:jc w:val="left"/>
        <w:rPr>
          <w:rFonts w:cs="Times New Roman"/>
          <w:color w:val="1A1C1E"/>
          <w:kern w:val="0"/>
          <w:szCs w:val="21"/>
        </w:rPr>
      </w:pPr>
      <w:r>
        <w:rPr>
          <w:rFonts w:cs="Times New Roman"/>
          <w:b/>
          <w:bCs/>
          <w:color w:val="1A1C1E"/>
          <w:kern w:val="0"/>
          <w:szCs w:val="21"/>
        </w:rPr>
        <w:t>痛点：</w:t>
      </w:r>
      <w:r>
        <w:rPr>
          <w:rFonts w:cs="Times New Roman"/>
          <w:color w:val="1A1C1E"/>
          <w:kern w:val="0"/>
          <w:szCs w:val="21"/>
        </w:rPr>
        <w:t> 不知道自己的肤质是什么；害怕“烂脸”；缺乏系统性的护肤知识；想尝试专业护肤，但无力支付昂贵的医美或私立医院费用。</w:t>
      </w:r>
    </w:p>
    <w:p w14:paraId="201B088B">
      <w:pPr>
        <w:widowControl/>
        <w:shd w:val="clear" w:color="auto" w:fill="FFFFFF"/>
        <w:spacing w:after="45" w:line="300" w:lineRule="atLeast"/>
        <w:ind w:firstLine="482"/>
        <w:jc w:val="left"/>
        <w:rPr>
          <w:rFonts w:cs="Times New Roman"/>
          <w:color w:val="1A1C1E"/>
          <w:kern w:val="0"/>
          <w:szCs w:val="21"/>
        </w:rPr>
      </w:pPr>
      <w:r>
        <w:rPr>
          <w:rFonts w:cs="Times New Roman"/>
          <w:b/>
          <w:bCs/>
          <w:color w:val="1A1C1E"/>
          <w:kern w:val="0"/>
          <w:szCs w:val="21"/>
        </w:rPr>
        <w:t>价值需求：</w:t>
      </w:r>
      <w:r>
        <w:rPr>
          <w:rFonts w:cs="Times New Roman"/>
          <w:color w:val="1A1C1E"/>
          <w:kern w:val="0"/>
          <w:szCs w:val="21"/>
        </w:rPr>
        <w:t> 需要一个</w:t>
      </w:r>
      <w:r>
        <w:rPr>
          <w:rFonts w:cs="Times New Roman"/>
          <w:b/>
          <w:bCs/>
          <w:color w:val="1A1C1E"/>
          <w:kern w:val="0"/>
          <w:szCs w:val="21"/>
        </w:rPr>
        <w:t>低门槛、客观、专业的“启蒙导师”</w:t>
      </w:r>
      <w:r>
        <w:rPr>
          <w:rFonts w:cs="Times New Roman"/>
          <w:color w:val="1A1C1E"/>
          <w:kern w:val="0"/>
          <w:szCs w:val="21"/>
        </w:rPr>
        <w:t>，通过 AI 快速识别肤质，提供基础的护肤知识和正确的流程指导，以及</w:t>
      </w:r>
      <w:r>
        <w:rPr>
          <w:rFonts w:cs="Times New Roman"/>
          <w:b/>
          <w:bCs/>
          <w:color w:val="1A1C1E"/>
          <w:kern w:val="0"/>
          <w:szCs w:val="21"/>
        </w:rPr>
        <w:t>预算友好且有效的</w:t>
      </w:r>
      <w:r>
        <w:rPr>
          <w:rFonts w:cs="Times New Roman"/>
          <w:color w:val="1A1C1E"/>
          <w:kern w:val="0"/>
          <w:szCs w:val="21"/>
        </w:rPr>
        <w:t>产品推荐。</w:t>
      </w:r>
    </w:p>
    <w:p w14:paraId="6B05E2C5">
      <w:pPr>
        <w:pStyle w:val="4"/>
        <w:ind w:firstLine="562"/>
        <w:rPr>
          <w:rFonts w:cs="Times New Roman"/>
        </w:rPr>
      </w:pPr>
      <w:r>
        <w:rPr>
          <w:rFonts w:cs="Times New Roman"/>
          <w:sz w:val="28"/>
          <w:szCs w:val="28"/>
        </w:rPr>
        <w:t>3.2.3 新增用户群体：特定场景用户</w:t>
      </w:r>
    </w:p>
    <w:p w14:paraId="618336AD">
      <w:pPr>
        <w:widowControl/>
        <w:shd w:val="clear" w:color="auto" w:fill="FFFFFF"/>
        <w:spacing w:after="45" w:line="300" w:lineRule="atLeast"/>
        <w:ind w:firstLine="0" w:firstLineChars="0"/>
        <w:jc w:val="left"/>
        <w:rPr>
          <w:rFonts w:cs="Times New Roman"/>
          <w:color w:val="1A1C1E"/>
          <w:kern w:val="0"/>
          <w:szCs w:val="21"/>
        </w:rPr>
      </w:pPr>
      <w:r>
        <w:rPr>
          <w:rFonts w:cs="Times New Roman"/>
          <w:b/>
          <w:bCs/>
          <w:color w:val="1A1C1E"/>
          <w:kern w:val="0"/>
          <w:szCs w:val="21"/>
        </w:rPr>
        <w:t>画像：职场人士阿浩 (25-35岁) / 精准送礼者：</w:t>
      </w:r>
    </w:p>
    <w:p w14:paraId="26340583">
      <w:pPr>
        <w:widowControl/>
        <w:shd w:val="clear" w:color="auto" w:fill="FFFFFF"/>
        <w:spacing w:after="45" w:line="300" w:lineRule="atLeast"/>
        <w:ind w:firstLine="482"/>
        <w:jc w:val="left"/>
        <w:rPr>
          <w:rFonts w:cs="Times New Roman"/>
          <w:color w:val="1A1C1E"/>
          <w:kern w:val="0"/>
          <w:szCs w:val="21"/>
        </w:rPr>
      </w:pPr>
      <w:r>
        <w:rPr>
          <w:rFonts w:cs="Times New Roman"/>
          <w:b/>
          <w:bCs/>
          <w:color w:val="1A1C1E"/>
          <w:kern w:val="0"/>
          <w:szCs w:val="21"/>
        </w:rPr>
        <w:t>背景：</w:t>
      </w:r>
      <w:r>
        <w:rPr>
          <w:rFonts w:cs="Times New Roman"/>
          <w:color w:val="1A1C1E"/>
          <w:kern w:val="0"/>
          <w:szCs w:val="21"/>
        </w:rPr>
        <w:t> 有给女友、亲人或重要朋友送礼物的需求，特别是护肤品等</w:t>
      </w:r>
      <w:r>
        <w:rPr>
          <w:rFonts w:cs="Times New Roman"/>
          <w:b/>
          <w:bCs/>
          <w:color w:val="1A1C1E"/>
          <w:kern w:val="0"/>
          <w:szCs w:val="21"/>
        </w:rPr>
        <w:t>高风险品类</w:t>
      </w:r>
      <w:r>
        <w:rPr>
          <w:rFonts w:cs="Times New Roman"/>
          <w:color w:val="1A1C1E"/>
          <w:kern w:val="0"/>
          <w:szCs w:val="21"/>
        </w:rPr>
        <w:t>。</w:t>
      </w:r>
    </w:p>
    <w:p w14:paraId="20CC6FEB">
      <w:pPr>
        <w:widowControl/>
        <w:shd w:val="clear" w:color="auto" w:fill="FFFFFF"/>
        <w:spacing w:after="45" w:line="300" w:lineRule="atLeast"/>
        <w:ind w:firstLine="482"/>
        <w:jc w:val="left"/>
        <w:rPr>
          <w:rFonts w:cs="Times New Roman"/>
          <w:color w:val="1A1C1E"/>
          <w:kern w:val="0"/>
          <w:szCs w:val="21"/>
        </w:rPr>
      </w:pPr>
      <w:r>
        <w:rPr>
          <w:rFonts w:cs="Times New Roman"/>
          <w:b/>
          <w:bCs/>
          <w:color w:val="1A1C1E"/>
          <w:kern w:val="0"/>
          <w:szCs w:val="21"/>
        </w:rPr>
        <w:t>痛点：</w:t>
      </w:r>
      <w:r>
        <w:rPr>
          <w:rFonts w:cs="Times New Roman"/>
          <w:color w:val="1A1C1E"/>
          <w:kern w:val="0"/>
          <w:szCs w:val="21"/>
        </w:rPr>
        <w:t> 不懂护肤品，不知道对方的</w:t>
      </w:r>
      <w:r>
        <w:rPr>
          <w:rFonts w:cs="Times New Roman"/>
          <w:b/>
          <w:bCs/>
          <w:color w:val="1A1C1E"/>
          <w:kern w:val="0"/>
          <w:szCs w:val="21"/>
        </w:rPr>
        <w:t>肤质和实时需求</w:t>
      </w:r>
      <w:r>
        <w:rPr>
          <w:rFonts w:cs="Times New Roman"/>
          <w:color w:val="1A1C1E"/>
          <w:kern w:val="0"/>
          <w:szCs w:val="21"/>
        </w:rPr>
        <w:t>，害怕送“雷品”或不合适的产品；希望送出的礼物是“精准有效”且能体现</w:t>
      </w:r>
      <w:r>
        <w:rPr>
          <w:rFonts w:cs="Times New Roman"/>
          <w:b/>
          <w:bCs/>
          <w:color w:val="1A1C1E"/>
          <w:kern w:val="0"/>
          <w:szCs w:val="21"/>
        </w:rPr>
        <w:t>高科技关爱</w:t>
      </w:r>
      <w:r>
        <w:rPr>
          <w:rFonts w:cs="Times New Roman"/>
          <w:color w:val="1A1C1E"/>
          <w:kern w:val="0"/>
          <w:szCs w:val="21"/>
        </w:rPr>
        <w:t>的。</w:t>
      </w:r>
    </w:p>
    <w:p w14:paraId="1E6EDE88">
      <w:pPr>
        <w:widowControl/>
        <w:shd w:val="clear" w:color="auto" w:fill="FFFFFF"/>
        <w:spacing w:after="45" w:line="300" w:lineRule="atLeast"/>
        <w:ind w:firstLine="482"/>
        <w:jc w:val="left"/>
        <w:rPr>
          <w:rFonts w:cs="Times New Roman"/>
          <w:color w:val="1A1C1E"/>
          <w:kern w:val="0"/>
          <w:szCs w:val="21"/>
        </w:rPr>
      </w:pPr>
      <w:r>
        <w:rPr>
          <w:rFonts w:cs="Times New Roman"/>
          <w:b/>
          <w:bCs/>
          <w:color w:val="1A1C1E"/>
          <w:kern w:val="0"/>
          <w:szCs w:val="21"/>
        </w:rPr>
        <w:t>价值需求：</w:t>
      </w:r>
      <w:r>
        <w:rPr>
          <w:rFonts w:cs="Times New Roman"/>
          <w:color w:val="1A1C1E"/>
          <w:kern w:val="0"/>
          <w:szCs w:val="21"/>
        </w:rPr>
        <w:t> 能够利用“肌智管家”的 </w:t>
      </w:r>
      <w:r>
        <w:rPr>
          <w:rFonts w:cs="Times New Roman"/>
          <w:b/>
          <w:bCs/>
          <w:color w:val="1A1C1E"/>
          <w:kern w:val="0"/>
          <w:szCs w:val="21"/>
        </w:rPr>
        <w:t>AI 分析和数据结果</w:t>
      </w:r>
      <w:r>
        <w:rPr>
          <w:rFonts w:cs="Times New Roman"/>
          <w:color w:val="1A1C1E"/>
          <w:kern w:val="0"/>
          <w:szCs w:val="21"/>
        </w:rPr>
        <w:t>，根据接收者的</w:t>
      </w:r>
      <w:r>
        <w:rPr>
          <w:rFonts w:cs="Times New Roman"/>
          <w:b/>
          <w:bCs/>
          <w:color w:val="1A1C1E"/>
          <w:kern w:val="0"/>
          <w:szCs w:val="21"/>
        </w:rPr>
        <w:t>实时皮肤状态</w:t>
      </w:r>
      <w:r>
        <w:rPr>
          <w:rFonts w:cs="Times New Roman"/>
          <w:color w:val="1A1C1E"/>
          <w:kern w:val="0"/>
          <w:szCs w:val="21"/>
        </w:rPr>
        <w:t>获得精准的产品推荐，将购买行为升级为“基于科学数据的关爱”，避免了盲目选择带来的风险。</w:t>
      </w:r>
    </w:p>
    <w:p w14:paraId="6A742D01">
      <w:pPr>
        <w:pStyle w:val="4"/>
        <w:ind w:firstLine="562"/>
        <w:rPr>
          <w:rFonts w:cs="Times New Roman"/>
        </w:rPr>
      </w:pPr>
      <w:r>
        <w:rPr>
          <w:rFonts w:cs="Times New Roman"/>
          <w:sz w:val="28"/>
          <w:szCs w:val="28"/>
        </w:rPr>
        <w:t>3.2.4 潜力/问题肌肤用户群</w:t>
      </w:r>
    </w:p>
    <w:p w14:paraId="287FD8BD">
      <w:pPr>
        <w:widowControl/>
        <w:shd w:val="clear" w:color="auto" w:fill="FFFFFF"/>
        <w:spacing w:after="45" w:line="300" w:lineRule="atLeast"/>
        <w:ind w:firstLine="482"/>
        <w:jc w:val="left"/>
        <w:rPr>
          <w:rFonts w:cs="Times New Roman"/>
          <w:color w:val="1A1C1E"/>
          <w:kern w:val="0"/>
          <w:szCs w:val="21"/>
        </w:rPr>
      </w:pPr>
      <w:r>
        <w:rPr>
          <w:rFonts w:cs="Times New Roman"/>
          <w:b/>
          <w:bCs/>
          <w:color w:val="1A1C1E"/>
          <w:kern w:val="0"/>
          <w:szCs w:val="21"/>
        </w:rPr>
        <w:t>潜力用户群 (35岁以上)：</w:t>
      </w:r>
      <w:r>
        <w:rPr>
          <w:rFonts w:cs="Times New Roman"/>
          <w:color w:val="1A1C1E"/>
          <w:kern w:val="0"/>
          <w:szCs w:val="21"/>
        </w:rPr>
        <w:t> 开始关注抗衰老、皮肤修复等更深层次的问题，对专业性、权威性要求更高。</w:t>
      </w:r>
    </w:p>
    <w:p w14:paraId="46188913">
      <w:pPr>
        <w:widowControl/>
        <w:shd w:val="clear" w:color="auto" w:fill="FFFFFF"/>
        <w:spacing w:after="45" w:line="300" w:lineRule="atLeast"/>
        <w:ind w:firstLine="482"/>
        <w:jc w:val="left"/>
        <w:rPr>
          <w:rFonts w:cs="Times New Roman"/>
          <w:color w:val="1A1C1E"/>
          <w:kern w:val="0"/>
          <w:szCs w:val="21"/>
        </w:rPr>
      </w:pPr>
      <w:r>
        <w:rPr>
          <w:rFonts w:cs="Times New Roman"/>
          <w:b/>
          <w:bCs/>
          <w:color w:val="1A1C1E"/>
          <w:kern w:val="0"/>
          <w:szCs w:val="21"/>
        </w:rPr>
        <w:t>问题肌肤人群：</w:t>
      </w:r>
      <w:r>
        <w:rPr>
          <w:rFonts w:cs="Times New Roman"/>
          <w:color w:val="1A1C1E"/>
          <w:kern w:val="0"/>
          <w:szCs w:val="21"/>
        </w:rPr>
        <w:t> 长期受痤疮、敏感、色斑等问题困扰，试错成本高，迫切需要科学、有效的解决方案，对 </w:t>
      </w:r>
      <w:r>
        <w:rPr>
          <w:rFonts w:cs="Times New Roman"/>
          <w:b/>
          <w:bCs/>
          <w:color w:val="1A1C1E"/>
          <w:kern w:val="0"/>
          <w:szCs w:val="21"/>
        </w:rPr>
        <w:t>“极速问诊”</w:t>
      </w:r>
      <w:r>
        <w:rPr>
          <w:rFonts w:cs="Times New Roman"/>
          <w:color w:val="1A1C1E"/>
          <w:kern w:val="0"/>
          <w:szCs w:val="21"/>
        </w:rPr>
        <w:t> 的需求强烈。</w:t>
      </w:r>
    </w:p>
    <w:p w14:paraId="21E904D2">
      <w:pPr>
        <w:widowControl/>
        <w:ind w:firstLine="480"/>
        <w:jc w:val="left"/>
        <w:rPr>
          <w:rFonts w:cs="Times New Roman"/>
          <w:color w:val="1A1C1E"/>
          <w:kern w:val="0"/>
          <w:szCs w:val="21"/>
        </w:rPr>
      </w:pPr>
      <w:r>
        <w:rPr>
          <w:rFonts w:cs="Times New Roman"/>
          <w:color w:val="1A1C1E"/>
          <w:kern w:val="0"/>
          <w:szCs w:val="21"/>
        </w:rPr>
        <w:br w:type="page"/>
      </w:r>
    </w:p>
    <w:p w14:paraId="59099567">
      <w:pPr>
        <w:pStyle w:val="3"/>
        <w:ind w:firstLine="198" w:firstLineChars="66"/>
        <w:rPr>
          <w:rStyle w:val="13"/>
          <w:rFonts w:cs="Times New Roman"/>
          <w:color w:val="1A1C1E"/>
        </w:rPr>
      </w:pPr>
      <w:r>
        <w:rPr>
          <w:rStyle w:val="13"/>
          <w:rFonts w:cs="Times New Roman"/>
          <w:color w:val="1A1C1E"/>
        </w:rPr>
        <w:t>3.3 竞争格局分析</w:t>
      </w:r>
    </w:p>
    <w:p w14:paraId="0F70809F">
      <w:pPr>
        <w:pStyle w:val="4"/>
        <w:ind w:firstLine="562"/>
        <w:rPr>
          <w:rStyle w:val="13"/>
          <w:rFonts w:eastAsia="黑体" w:cs="Times New Roman"/>
          <w:color w:val="1A1C1E"/>
          <w:sz w:val="28"/>
          <w:szCs w:val="28"/>
        </w:rPr>
      </w:pPr>
      <w:r>
        <w:rPr>
          <w:rStyle w:val="13"/>
          <w:rFonts w:eastAsia="黑体" w:cs="Times New Roman"/>
          <w:color w:val="1A1C1E"/>
          <w:sz w:val="28"/>
          <w:szCs w:val="28"/>
        </w:rPr>
        <w:t>3.3.1 主要竞争对手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1659"/>
        <w:gridCol w:w="1659"/>
        <w:gridCol w:w="1659"/>
        <w:gridCol w:w="1660"/>
      </w:tblGrid>
      <w:tr w14:paraId="527EDED5">
        <w:trPr>
          <w:trHeight w:val="997" w:hRule="atLeast"/>
        </w:trPr>
        <w:tc>
          <w:tcPr>
            <w:tcW w:w="1659" w:type="dxa"/>
          </w:tcPr>
          <w:p w14:paraId="48C064E2">
            <w:pPr>
              <w:ind w:firstLine="422"/>
              <w:rPr>
                <w:rFonts w:cs="Times New Roman"/>
              </w:rPr>
            </w:pPr>
            <w:r>
              <w:rPr>
                <w:rFonts w:cs="Times New Roman"/>
                <w:b/>
                <w:bCs/>
                <w:color w:val="1A1C1E"/>
                <w:sz w:val="21"/>
                <w:szCs w:val="21"/>
                <w:shd w:val="clear" w:color="auto" w:fill="FFFFFF"/>
              </w:rPr>
              <w:t>竞争对手类型</w:t>
            </w:r>
          </w:p>
        </w:tc>
        <w:tc>
          <w:tcPr>
            <w:tcW w:w="1659" w:type="dxa"/>
          </w:tcPr>
          <w:p w14:paraId="3ECB78C4">
            <w:pPr>
              <w:ind w:firstLine="422"/>
              <w:rPr>
                <w:rFonts w:cs="Times New Roman"/>
              </w:rPr>
            </w:pPr>
            <w:r>
              <w:rPr>
                <w:rFonts w:cs="Times New Roman"/>
                <w:b/>
                <w:bCs/>
                <w:color w:val="1A1C1E"/>
                <w:sz w:val="21"/>
                <w:szCs w:val="21"/>
                <w:shd w:val="clear" w:color="auto" w:fill="FFFFFF"/>
              </w:rPr>
              <w:t>代表App/产品</w:t>
            </w:r>
          </w:p>
        </w:tc>
        <w:tc>
          <w:tcPr>
            <w:tcW w:w="1659" w:type="dxa"/>
          </w:tcPr>
          <w:p w14:paraId="6329483F">
            <w:pPr>
              <w:ind w:firstLine="422"/>
              <w:rPr>
                <w:rFonts w:cs="Times New Roman"/>
              </w:rPr>
            </w:pPr>
            <w:r>
              <w:rPr>
                <w:rFonts w:cs="Times New Roman"/>
                <w:b/>
                <w:bCs/>
                <w:color w:val="1A1C1E"/>
                <w:sz w:val="21"/>
                <w:szCs w:val="21"/>
                <w:shd w:val="clear" w:color="auto" w:fill="FFFFFF"/>
              </w:rPr>
              <w:t>竞争定位/核心服务</w:t>
            </w:r>
          </w:p>
        </w:tc>
        <w:tc>
          <w:tcPr>
            <w:tcW w:w="1659" w:type="dxa"/>
          </w:tcPr>
          <w:p w14:paraId="1303CA15">
            <w:pPr>
              <w:ind w:firstLine="422"/>
              <w:rPr>
                <w:rFonts w:cs="Times New Roman"/>
              </w:rPr>
            </w:pPr>
            <w:r>
              <w:rPr>
                <w:rFonts w:cs="Times New Roman"/>
                <w:b/>
                <w:bCs/>
                <w:color w:val="1A1C1E"/>
                <w:sz w:val="21"/>
                <w:szCs w:val="21"/>
                <w:shd w:val="clear" w:color="auto" w:fill="FFFFFF"/>
              </w:rPr>
              <w:t>核心优势</w:t>
            </w:r>
          </w:p>
        </w:tc>
        <w:tc>
          <w:tcPr>
            <w:tcW w:w="1660" w:type="dxa"/>
          </w:tcPr>
          <w:p w14:paraId="2016219C">
            <w:pPr>
              <w:ind w:firstLine="422"/>
              <w:rPr>
                <w:rFonts w:cs="Times New Roman"/>
              </w:rPr>
            </w:pPr>
            <w:r>
              <w:rPr>
                <w:rFonts w:cs="Times New Roman"/>
                <w:b/>
                <w:bCs/>
                <w:color w:val="1A1C1E"/>
                <w:sz w:val="21"/>
                <w:szCs w:val="21"/>
                <w:shd w:val="clear" w:color="auto" w:fill="FFFFFF"/>
              </w:rPr>
              <w:t>潜在威胁与局限性</w:t>
            </w:r>
          </w:p>
        </w:tc>
      </w:tr>
      <w:tr w14:paraId="2123278E">
        <w:trPr>
          <w:trHeight w:val="702" w:hRule="atLeast"/>
        </w:trPr>
        <w:tc>
          <w:tcPr>
            <w:tcW w:w="1659" w:type="dxa"/>
          </w:tcPr>
          <w:p w14:paraId="50FB354A">
            <w:pPr>
              <w:pStyle w:val="14"/>
              <w:rPr>
                <w:rFonts w:cs="Times New Roman"/>
              </w:rPr>
            </w:pPr>
            <w:r>
              <w:rPr>
                <w:rStyle w:val="13"/>
                <w:rFonts w:cs="Times New Roman"/>
                <w:color w:val="1A1C1E"/>
                <w:shd w:val="clear" w:color="auto" w:fill="FFFFFF"/>
              </w:rPr>
              <w:t>线上医疗问诊</w:t>
            </w:r>
          </w:p>
        </w:tc>
        <w:tc>
          <w:tcPr>
            <w:tcW w:w="1659" w:type="dxa"/>
          </w:tcPr>
          <w:p w14:paraId="3B8C9A0C">
            <w:pPr>
              <w:pStyle w:val="14"/>
              <w:rPr>
                <w:rFonts w:cs="Times New Roman"/>
              </w:rPr>
            </w:pPr>
            <w:r>
              <w:rPr>
                <w:rFonts w:cs="Times New Roman"/>
                <w:shd w:val="clear" w:color="auto" w:fill="FFFFFF"/>
              </w:rPr>
              <w:t>好大夫在线、各大医院小程序</w:t>
            </w:r>
          </w:p>
        </w:tc>
        <w:tc>
          <w:tcPr>
            <w:tcW w:w="1659" w:type="dxa"/>
          </w:tcPr>
          <w:p w14:paraId="276B345B">
            <w:pPr>
              <w:pStyle w:val="14"/>
              <w:rPr>
                <w:rFonts w:cs="Times New Roman"/>
              </w:rPr>
            </w:pPr>
            <w:r>
              <w:rPr>
                <w:rFonts w:cs="Times New Roman"/>
                <w:shd w:val="clear" w:color="auto" w:fill="FFFFFF"/>
              </w:rPr>
              <w:t>提供在线图文/视频问诊服务，覆盖皮肤科。</w:t>
            </w:r>
          </w:p>
        </w:tc>
        <w:tc>
          <w:tcPr>
            <w:tcW w:w="1659" w:type="dxa"/>
          </w:tcPr>
          <w:p w14:paraId="1293B0C4">
            <w:pPr>
              <w:pStyle w:val="14"/>
              <w:rPr>
                <w:rFonts w:cs="Times New Roman"/>
              </w:rPr>
            </w:pPr>
            <w:r>
              <w:rPr>
                <w:rFonts w:cs="Times New Roman"/>
                <w:shd w:val="clear" w:color="auto" w:fill="FFFFFF"/>
              </w:rPr>
              <w:t>医生资源丰富，具备医疗牌照和高合规性。</w:t>
            </w:r>
          </w:p>
        </w:tc>
        <w:tc>
          <w:tcPr>
            <w:tcW w:w="1660" w:type="dxa"/>
          </w:tcPr>
          <w:p w14:paraId="6D12352E">
            <w:pPr>
              <w:pStyle w:val="14"/>
              <w:rPr>
                <w:rFonts w:cs="Times New Roman"/>
              </w:rPr>
            </w:pPr>
            <w:r>
              <w:rPr>
                <w:rStyle w:val="13"/>
                <w:rFonts w:cs="Times New Roman"/>
                <w:color w:val="1A1C1E"/>
                <w:shd w:val="clear" w:color="auto" w:fill="FFFFFF"/>
              </w:rPr>
              <w:t>缺乏客观的皮肤状态数据支持，问诊效率低，诊断依赖用户主观描述。</w:t>
            </w:r>
          </w:p>
        </w:tc>
      </w:tr>
      <w:tr w14:paraId="00605833">
        <w:trPr>
          <w:trHeight w:val="840" w:hRule="atLeast"/>
        </w:trPr>
        <w:tc>
          <w:tcPr>
            <w:tcW w:w="1659" w:type="dxa"/>
          </w:tcPr>
          <w:p w14:paraId="47BB5685">
            <w:pPr>
              <w:pStyle w:val="14"/>
              <w:rPr>
                <w:rFonts w:cs="Times New Roman"/>
              </w:rPr>
            </w:pPr>
            <w:r>
              <w:rPr>
                <w:rStyle w:val="13"/>
                <w:rFonts w:cs="Times New Roman"/>
                <w:color w:val="1A1C1E"/>
                <w:shd w:val="clear" w:color="auto" w:fill="FFFFFF"/>
              </w:rPr>
              <w:t>美妆/护肤社区电商</w:t>
            </w:r>
          </w:p>
        </w:tc>
        <w:tc>
          <w:tcPr>
            <w:tcW w:w="1659" w:type="dxa"/>
          </w:tcPr>
          <w:p w14:paraId="44E3BEF0">
            <w:pPr>
              <w:pStyle w:val="14"/>
              <w:rPr>
                <w:rFonts w:cs="Times New Roman"/>
              </w:rPr>
            </w:pPr>
            <w:r>
              <w:rPr>
                <w:rFonts w:cs="Times New Roman"/>
                <w:shd w:val="clear" w:color="auto" w:fill="FFFFFF"/>
              </w:rPr>
              <w:t>小红书、天猫美妆区</w:t>
            </w:r>
          </w:p>
        </w:tc>
        <w:tc>
          <w:tcPr>
            <w:tcW w:w="1659" w:type="dxa"/>
          </w:tcPr>
          <w:p w14:paraId="39FE8FE8">
            <w:pPr>
              <w:pStyle w:val="14"/>
              <w:rPr>
                <w:rFonts w:cs="Times New Roman"/>
              </w:rPr>
            </w:pPr>
            <w:r>
              <w:rPr>
                <w:rFonts w:cs="Times New Roman"/>
                <w:shd w:val="clear" w:color="auto" w:fill="FFFFFF"/>
              </w:rPr>
              <w:t>皮肤知识分享、产品“种草”、产品销售和导购。</w:t>
            </w:r>
          </w:p>
        </w:tc>
        <w:tc>
          <w:tcPr>
            <w:tcW w:w="1659" w:type="dxa"/>
          </w:tcPr>
          <w:p w14:paraId="2E20406A">
            <w:pPr>
              <w:pStyle w:val="14"/>
              <w:rPr>
                <w:rFonts w:cs="Times New Roman"/>
              </w:rPr>
            </w:pPr>
            <w:r>
              <w:rPr>
                <w:rStyle w:val="13"/>
                <w:rFonts w:cs="Times New Roman"/>
                <w:color w:val="1A1C1E"/>
                <w:shd w:val="clear" w:color="auto" w:fill="FFFFFF"/>
              </w:rPr>
              <w:t>用户基数大，社区活跃，交易便捷，消费导向强。</w:t>
            </w:r>
          </w:p>
        </w:tc>
        <w:tc>
          <w:tcPr>
            <w:tcW w:w="1660" w:type="dxa"/>
          </w:tcPr>
          <w:p w14:paraId="73A344C6">
            <w:pPr>
              <w:pStyle w:val="14"/>
              <w:rPr>
                <w:rFonts w:cs="Times New Roman"/>
              </w:rPr>
            </w:pPr>
            <w:r>
              <w:rPr>
                <w:rStyle w:val="13"/>
                <w:rFonts w:cs="Times New Roman"/>
                <w:color w:val="1A1C1E"/>
                <w:shd w:val="clear" w:color="auto" w:fill="FFFFFF"/>
              </w:rPr>
              <w:t>信息质量参差不齐，缺乏专业医生的介入，推荐主观性强，无法形成医疗闭环。</w:t>
            </w:r>
          </w:p>
        </w:tc>
      </w:tr>
      <w:tr w14:paraId="07517930">
        <w:trPr>
          <w:trHeight w:val="710" w:hRule="atLeast"/>
        </w:trPr>
        <w:tc>
          <w:tcPr>
            <w:tcW w:w="1659" w:type="dxa"/>
          </w:tcPr>
          <w:p w14:paraId="4EE93AC3">
            <w:pPr>
              <w:pStyle w:val="14"/>
              <w:rPr>
                <w:rFonts w:cs="Times New Roman"/>
              </w:rPr>
            </w:pPr>
            <w:r>
              <w:rPr>
                <w:rStyle w:val="13"/>
                <w:rFonts w:cs="Times New Roman"/>
                <w:color w:val="1A1C1E"/>
                <w:shd w:val="clear" w:color="auto" w:fill="FFFFFF"/>
              </w:rPr>
              <w:t>独立AI测肤工具</w:t>
            </w:r>
          </w:p>
        </w:tc>
        <w:tc>
          <w:tcPr>
            <w:tcW w:w="1659" w:type="dxa"/>
          </w:tcPr>
          <w:p w14:paraId="2958A091">
            <w:pPr>
              <w:pStyle w:val="14"/>
              <w:rPr>
                <w:rFonts w:cs="Times New Roman"/>
              </w:rPr>
            </w:pPr>
            <w:r>
              <w:rPr>
                <w:rFonts w:cs="Times New Roman"/>
              </w:rPr>
              <w:t>你今天真好看</w:t>
            </w:r>
          </w:p>
        </w:tc>
        <w:tc>
          <w:tcPr>
            <w:tcW w:w="1659" w:type="dxa"/>
          </w:tcPr>
          <w:p w14:paraId="04B75026">
            <w:pPr>
              <w:pStyle w:val="14"/>
              <w:rPr>
                <w:rFonts w:cs="Times New Roman"/>
              </w:rPr>
            </w:pPr>
            <w:r>
              <w:rPr>
                <w:rFonts w:cs="Times New Roman"/>
                <w:shd w:val="clear" w:color="auto" w:fill="FFFFFF"/>
              </w:rPr>
              <w:t>提供基础的皮肤状态拍照测试和报告。</w:t>
            </w:r>
          </w:p>
        </w:tc>
        <w:tc>
          <w:tcPr>
            <w:tcW w:w="1659" w:type="dxa"/>
          </w:tcPr>
          <w:p w14:paraId="32B34153">
            <w:pPr>
              <w:pStyle w:val="14"/>
              <w:rPr>
                <w:rFonts w:cs="Times New Roman"/>
              </w:rPr>
            </w:pPr>
            <w:r>
              <w:rPr>
                <w:rFonts w:cs="Times New Roman"/>
                <w:shd w:val="clear" w:color="auto" w:fill="FFFFFF"/>
              </w:rPr>
              <w:t>操作简单快捷，侧重基础测试功能。</w:t>
            </w:r>
          </w:p>
        </w:tc>
        <w:tc>
          <w:tcPr>
            <w:tcW w:w="1660" w:type="dxa"/>
          </w:tcPr>
          <w:p w14:paraId="6B99B630">
            <w:pPr>
              <w:pStyle w:val="14"/>
              <w:rPr>
                <w:rFonts w:cs="Times New Roman"/>
              </w:rPr>
            </w:pPr>
            <w:r>
              <w:rPr>
                <w:rStyle w:val="13"/>
                <w:rFonts w:cs="Times New Roman"/>
                <w:color w:val="1A1C1E"/>
                <w:shd w:val="clear" w:color="auto" w:fill="FFFFFF"/>
              </w:rPr>
              <w:t>测试准确度和深度有限，缺乏长期数据追踪和真人专家诊断的深度介入。</w:t>
            </w:r>
          </w:p>
        </w:tc>
      </w:tr>
    </w:tbl>
    <w:p w14:paraId="27615179">
      <w:pPr>
        <w:widowControl/>
        <w:shd w:val="clear" w:color="auto" w:fill="FFFFFF"/>
        <w:spacing w:after="45" w:line="300" w:lineRule="atLeast"/>
        <w:ind w:firstLine="480"/>
        <w:jc w:val="left"/>
        <w:rPr>
          <w:rFonts w:cs="Times New Roman"/>
          <w:color w:val="1A1C1E"/>
          <w:kern w:val="0"/>
          <w:szCs w:val="21"/>
        </w:rPr>
      </w:pPr>
    </w:p>
    <w:p w14:paraId="293E767D">
      <w:pPr>
        <w:pStyle w:val="4"/>
        <w:ind w:firstLine="562"/>
        <w:rPr>
          <w:sz w:val="28"/>
          <w:szCs w:val="28"/>
        </w:rPr>
      </w:pPr>
      <w:r>
        <w:rPr>
          <w:sz w:val="28"/>
          <w:szCs w:val="28"/>
        </w:rPr>
        <w:t xml:space="preserve">3.3.2 </w:t>
      </w:r>
      <w:r>
        <w:rPr>
          <w:rFonts w:cs="Times New Roman"/>
          <w:sz w:val="28"/>
          <w:szCs w:val="28"/>
        </w:rPr>
        <w:t>肌智管家</w:t>
      </w:r>
      <w:r>
        <w:rPr>
          <w:sz w:val="28"/>
          <w:szCs w:val="28"/>
        </w:rPr>
        <w:t>的差异化优势</w:t>
      </w:r>
    </w:p>
    <w:p w14:paraId="2BB39C3D">
      <w:pPr>
        <w:ind w:firstLine="420"/>
        <w:rPr>
          <w:rFonts w:cs="Times New Roman"/>
        </w:rPr>
      </w:pPr>
      <w:r>
        <w:rPr>
          <w:rStyle w:val="13"/>
          <w:rFonts w:cs="Times New Roman"/>
          <w:color w:val="1A1C1E"/>
          <w:sz w:val="21"/>
          <w:szCs w:val="21"/>
          <w:shd w:val="clear" w:color="auto" w:fill="FFFFFF"/>
        </w:rPr>
        <w:t>“肌智管家”的核心竞争力在于在 </w:t>
      </w:r>
      <w:r>
        <w:rPr>
          <w:rStyle w:val="13"/>
          <w:rFonts w:cs="Times New Roman"/>
          <w:b/>
          <w:bCs/>
          <w:color w:val="1A1C1E"/>
          <w:sz w:val="21"/>
          <w:szCs w:val="21"/>
          <w:shd w:val="clear" w:color="auto" w:fill="FFFFFF"/>
        </w:rPr>
        <w:t>“AI精准诊断”</w:t>
      </w:r>
      <w:r>
        <w:rPr>
          <w:rStyle w:val="13"/>
          <w:rFonts w:cs="Times New Roman"/>
          <w:color w:val="1A1C1E"/>
          <w:sz w:val="21"/>
          <w:szCs w:val="21"/>
          <w:shd w:val="clear" w:color="auto" w:fill="FFFFFF"/>
        </w:rPr>
        <w:t> 与 </w:t>
      </w:r>
      <w:r>
        <w:rPr>
          <w:rStyle w:val="13"/>
          <w:rFonts w:cs="Times New Roman"/>
          <w:b/>
          <w:bCs/>
          <w:color w:val="1A1C1E"/>
          <w:sz w:val="21"/>
          <w:szCs w:val="21"/>
          <w:shd w:val="clear" w:color="auto" w:fill="FFFFFF"/>
        </w:rPr>
        <w:t>“真人专家服务”</w:t>
      </w:r>
      <w:r>
        <w:rPr>
          <w:rStyle w:val="13"/>
          <w:rFonts w:cs="Times New Roman"/>
          <w:color w:val="1A1C1E"/>
          <w:sz w:val="21"/>
          <w:szCs w:val="21"/>
          <w:shd w:val="clear" w:color="auto" w:fill="FFFFFF"/>
        </w:rPr>
        <w:t> 之间构建了一个数据驱动的、完整的</w:t>
      </w:r>
      <w:r>
        <w:rPr>
          <w:rStyle w:val="13"/>
          <w:rFonts w:cs="Times New Roman"/>
          <w:b/>
          <w:bCs/>
          <w:color w:val="1A1C1E"/>
          <w:sz w:val="21"/>
          <w:szCs w:val="21"/>
          <w:shd w:val="clear" w:color="auto" w:fill="FFFFFF"/>
        </w:rPr>
        <w:t>服务闭环</w:t>
      </w:r>
      <w:r>
        <w:rPr>
          <w:rStyle w:val="13"/>
          <w:rFonts w:cs="Times New Roman"/>
          <w:color w:val="1A1C1E"/>
          <w:sz w:val="21"/>
          <w:szCs w:val="21"/>
          <w:shd w:val="clear" w:color="auto" w:fill="FFFFFF"/>
        </w:rPr>
        <w:t>。本APP的优势集中在“专业度”和“连接效率”：</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2694"/>
        <w:gridCol w:w="3906"/>
      </w:tblGrid>
      <w:tr w14:paraId="04B971E4">
        <w:tc>
          <w:tcPr>
            <w:tcW w:w="1696" w:type="dxa"/>
          </w:tcPr>
          <w:p w14:paraId="3804AF97">
            <w:pPr>
              <w:pStyle w:val="5"/>
              <w:spacing w:before="0" w:beforeAutospacing="0" w:after="0" w:afterAutospacing="0"/>
              <w:ind w:firstLine="420"/>
              <w:rPr>
                <w:rFonts w:cs="Times New Roman"/>
                <w:color w:val="1A1C1E"/>
                <w:sz w:val="21"/>
                <w:szCs w:val="21"/>
              </w:rPr>
            </w:pPr>
            <w:r>
              <w:rPr>
                <w:rFonts w:cs="Times New Roman"/>
                <w:b w:val="0"/>
                <w:bCs w:val="0"/>
                <w:color w:val="1A1C1E"/>
                <w:sz w:val="21"/>
                <w:szCs w:val="21"/>
                <w:shd w:val="clear" w:color="auto" w:fill="FFFFFF"/>
              </w:rPr>
              <w:t>维度</w:t>
            </w:r>
          </w:p>
        </w:tc>
        <w:tc>
          <w:tcPr>
            <w:tcW w:w="2694" w:type="dxa"/>
          </w:tcPr>
          <w:p w14:paraId="478E7FDC">
            <w:pPr>
              <w:pStyle w:val="5"/>
              <w:spacing w:before="0" w:beforeAutospacing="0" w:after="0" w:afterAutospacing="0"/>
              <w:ind w:firstLine="420"/>
              <w:rPr>
                <w:rFonts w:cs="Times New Roman"/>
                <w:color w:val="1A1C1E"/>
                <w:sz w:val="21"/>
                <w:szCs w:val="21"/>
              </w:rPr>
            </w:pPr>
            <w:r>
              <w:rPr>
                <w:rFonts w:cs="Times New Roman"/>
                <w:b w:val="0"/>
                <w:bCs w:val="0"/>
                <w:color w:val="1A1C1E"/>
                <w:sz w:val="21"/>
                <w:szCs w:val="21"/>
                <w:shd w:val="clear" w:color="auto" w:fill="FFFFFF"/>
              </w:rPr>
              <w:t>传统竞争对手的痛点</w:t>
            </w:r>
          </w:p>
        </w:tc>
        <w:tc>
          <w:tcPr>
            <w:tcW w:w="3906" w:type="dxa"/>
          </w:tcPr>
          <w:p w14:paraId="4ABAC674">
            <w:pPr>
              <w:pStyle w:val="5"/>
              <w:spacing w:before="0" w:beforeAutospacing="0" w:after="0" w:afterAutospacing="0"/>
              <w:ind w:firstLine="420"/>
              <w:rPr>
                <w:rFonts w:cs="Times New Roman"/>
                <w:color w:val="1A1C1E"/>
                <w:sz w:val="21"/>
                <w:szCs w:val="21"/>
              </w:rPr>
            </w:pPr>
            <w:r>
              <w:rPr>
                <w:rFonts w:cs="Times New Roman"/>
                <w:b w:val="0"/>
                <w:bCs w:val="0"/>
                <w:color w:val="1A1C1E"/>
                <w:sz w:val="21"/>
                <w:szCs w:val="21"/>
                <w:shd w:val="clear" w:color="auto" w:fill="FFFFFF"/>
              </w:rPr>
              <w:t>肌智管家 (SkinAlvisor) 的核心优势</w:t>
            </w:r>
          </w:p>
        </w:tc>
      </w:tr>
      <w:tr w14:paraId="78EA470C">
        <w:trPr>
          <w:cantSplit/>
          <w:trHeight w:val="1134" w:hRule="atLeast"/>
        </w:trPr>
        <w:tc>
          <w:tcPr>
            <w:tcW w:w="1696" w:type="dxa"/>
          </w:tcPr>
          <w:p w14:paraId="1C8F2C88">
            <w:pPr>
              <w:ind w:firstLine="0" w:firstLineChars="0"/>
              <w:rPr>
                <w:rFonts w:cs="Times New Roman"/>
              </w:rPr>
            </w:pPr>
            <w:r>
              <w:rPr>
                <w:rStyle w:val="13"/>
                <w:rFonts w:cs="Times New Roman"/>
                <w:color w:val="1A1C1E"/>
                <w:shd w:val="clear" w:color="auto" w:fill="FFFFFF"/>
              </w:rPr>
              <w:t>服务闭环</w:t>
            </w:r>
          </w:p>
        </w:tc>
        <w:tc>
          <w:tcPr>
            <w:tcW w:w="2694" w:type="dxa"/>
          </w:tcPr>
          <w:p w14:paraId="092DBB7F">
            <w:pPr>
              <w:pStyle w:val="14"/>
              <w:rPr>
                <w:rFonts w:cs="Times New Roman"/>
              </w:rPr>
            </w:pPr>
            <w:r>
              <w:rPr>
                <w:rFonts w:cs="Times New Roman"/>
                <w:shd w:val="clear" w:color="auto" w:fill="FFFFFF"/>
              </w:rPr>
              <w:t>仅提供单次问诊、或仅提供产品推荐。</w:t>
            </w:r>
          </w:p>
        </w:tc>
        <w:tc>
          <w:tcPr>
            <w:tcW w:w="3906" w:type="dxa"/>
          </w:tcPr>
          <w:p w14:paraId="68CD2339">
            <w:pPr>
              <w:pStyle w:val="14"/>
              <w:rPr>
                <w:rFonts w:cs="Times New Roman"/>
              </w:rPr>
            </w:pPr>
            <w:r>
              <w:rPr>
                <w:rStyle w:val="13"/>
                <w:rFonts w:cs="Times New Roman"/>
                <w:color w:val="1A1C1E"/>
                <w:shd w:val="clear" w:color="auto" w:fill="FFFFFF"/>
              </w:rPr>
              <w:t>形成 “AI检测-数据追踪-真人问诊-社区分享-产品导购” 的全流程闭环。</w:t>
            </w:r>
          </w:p>
        </w:tc>
      </w:tr>
      <w:tr w14:paraId="2BDE892F">
        <w:trPr>
          <w:cantSplit/>
          <w:trHeight w:val="1134" w:hRule="atLeast"/>
        </w:trPr>
        <w:tc>
          <w:tcPr>
            <w:tcW w:w="1696" w:type="dxa"/>
          </w:tcPr>
          <w:p w14:paraId="1530A595">
            <w:pPr>
              <w:ind w:firstLine="0" w:firstLineChars="0"/>
              <w:rPr>
                <w:rFonts w:cs="Times New Roman"/>
              </w:rPr>
            </w:pPr>
            <w:r>
              <w:rPr>
                <w:rStyle w:val="13"/>
                <w:rFonts w:cs="Times New Roman"/>
                <w:color w:val="1A1C1E"/>
                <w:shd w:val="clear" w:color="auto" w:fill="FFFFFF"/>
              </w:rPr>
              <w:t>诊断精度</w:t>
            </w:r>
          </w:p>
        </w:tc>
        <w:tc>
          <w:tcPr>
            <w:tcW w:w="2694" w:type="dxa"/>
          </w:tcPr>
          <w:p w14:paraId="11E71F3D">
            <w:pPr>
              <w:pStyle w:val="14"/>
              <w:rPr>
                <w:rFonts w:cs="Times New Roman"/>
              </w:rPr>
            </w:pPr>
            <w:r>
              <w:rPr>
                <w:rFonts w:cs="Times New Roman"/>
                <w:shd w:val="clear" w:color="auto" w:fill="FFFFFF"/>
              </w:rPr>
              <w:t>依赖用户主观描述，或基础拍照测试精度低。</w:t>
            </w:r>
          </w:p>
        </w:tc>
        <w:tc>
          <w:tcPr>
            <w:tcW w:w="3906" w:type="dxa"/>
          </w:tcPr>
          <w:p w14:paraId="3CF1D313">
            <w:pPr>
              <w:pStyle w:val="14"/>
              <w:rPr>
                <w:rFonts w:cs="Times New Roman"/>
              </w:rPr>
            </w:pPr>
            <w:r>
              <w:rPr>
                <w:rStyle w:val="13"/>
                <w:rFonts w:cs="Times New Roman"/>
                <w:color w:val="1A1C1E"/>
                <w:shd w:val="clear" w:color="auto" w:fill="FFFFFF"/>
              </w:rPr>
              <w:t>基于海量医疗级数据训练的 AI 大模型，实现即时、多维度、高精度的皮肤状态识别和分析。</w:t>
            </w:r>
          </w:p>
        </w:tc>
      </w:tr>
      <w:tr w14:paraId="706AB65E">
        <w:trPr>
          <w:cantSplit/>
          <w:trHeight w:val="1176" w:hRule="atLeast"/>
        </w:trPr>
        <w:tc>
          <w:tcPr>
            <w:tcW w:w="1696" w:type="dxa"/>
          </w:tcPr>
          <w:p w14:paraId="74F9F1F2">
            <w:pPr>
              <w:ind w:firstLine="0" w:firstLineChars="0"/>
              <w:rPr>
                <w:rFonts w:cs="Times New Roman"/>
              </w:rPr>
            </w:pPr>
            <w:r>
              <w:rPr>
                <w:rStyle w:val="13"/>
                <w:rFonts w:cs="Times New Roman"/>
                <w:color w:val="1A1C1E"/>
                <w:shd w:val="clear" w:color="auto" w:fill="FFFFFF"/>
              </w:rPr>
              <w:t>医生服务</w:t>
            </w:r>
          </w:p>
        </w:tc>
        <w:tc>
          <w:tcPr>
            <w:tcW w:w="2694" w:type="dxa"/>
          </w:tcPr>
          <w:p w14:paraId="611BF772">
            <w:pPr>
              <w:pStyle w:val="14"/>
              <w:rPr>
                <w:rFonts w:cs="Times New Roman"/>
              </w:rPr>
            </w:pPr>
            <w:r>
              <w:rPr>
                <w:rFonts w:cs="Times New Roman"/>
                <w:shd w:val="clear" w:color="auto" w:fill="FFFFFF"/>
              </w:rPr>
              <w:t>线上医生缺乏患者皮肤的客观数据支持。</w:t>
            </w:r>
          </w:p>
        </w:tc>
        <w:tc>
          <w:tcPr>
            <w:tcW w:w="3906" w:type="dxa"/>
          </w:tcPr>
          <w:p w14:paraId="07A2AF78">
            <w:pPr>
              <w:pStyle w:val="14"/>
              <w:rPr>
                <w:rFonts w:cs="Times New Roman"/>
              </w:rPr>
            </w:pPr>
            <w:r>
              <w:rPr>
                <w:rStyle w:val="13"/>
                <w:rFonts w:cs="Times New Roman"/>
                <w:color w:val="1A1C1E"/>
                <w:shd w:val="clear" w:color="auto" w:fill="FFFFFF"/>
              </w:rPr>
              <w:t>AI 报告先行，赋能医生。 问诊时医生可直接查看 AI 分析的历史数据，大幅提高诊断效率和准确性。</w:t>
            </w:r>
          </w:p>
        </w:tc>
      </w:tr>
      <w:tr w14:paraId="11E6885D">
        <w:trPr>
          <w:cantSplit/>
          <w:trHeight w:val="1515" w:hRule="atLeast"/>
        </w:trPr>
        <w:tc>
          <w:tcPr>
            <w:tcW w:w="1696" w:type="dxa"/>
          </w:tcPr>
          <w:p w14:paraId="7F26AD7A">
            <w:pPr>
              <w:pStyle w:val="14"/>
              <w:rPr>
                <w:rFonts w:cs="Times New Roman"/>
              </w:rPr>
            </w:pPr>
            <w:r>
              <w:rPr>
                <w:rStyle w:val="13"/>
                <w:rFonts w:cs="Times New Roman"/>
                <w:color w:val="1A1C1E"/>
                <w:shd w:val="clear" w:color="auto" w:fill="FFFFFF"/>
              </w:rPr>
              <w:t>数据价值</w:t>
            </w:r>
          </w:p>
        </w:tc>
        <w:tc>
          <w:tcPr>
            <w:tcW w:w="2694" w:type="dxa"/>
          </w:tcPr>
          <w:p w14:paraId="32C430A1">
            <w:pPr>
              <w:pStyle w:val="14"/>
              <w:rPr>
                <w:rFonts w:cs="Times New Roman"/>
              </w:rPr>
            </w:pPr>
            <w:r>
              <w:rPr>
                <w:rFonts w:cs="Times New Roman"/>
                <w:shd w:val="clear" w:color="auto" w:fill="FFFFFF"/>
              </w:rPr>
              <w:t>数据仅用于单次诊断或简单的用户画像。</w:t>
            </w:r>
          </w:p>
        </w:tc>
        <w:tc>
          <w:tcPr>
            <w:tcW w:w="3906" w:type="dxa"/>
          </w:tcPr>
          <w:p w14:paraId="553ED270">
            <w:pPr>
              <w:pStyle w:val="14"/>
              <w:rPr>
                <w:rFonts w:cs="Times New Roman"/>
              </w:rPr>
            </w:pPr>
            <w:r>
              <w:rPr>
                <w:rStyle w:val="13"/>
                <w:rFonts w:cs="Times New Roman"/>
                <w:color w:val="1A1C1E"/>
                <w:shd w:val="clear" w:color="auto" w:fill="FFFFFF"/>
              </w:rPr>
              <w:t>动态追踪与数据可视化。 记录用户每一次护肤变化，帮助用户量化护肤品使用和生活习惯调整的有效性，形成高粘性。</w:t>
            </w:r>
          </w:p>
        </w:tc>
      </w:tr>
      <w:tr w14:paraId="49B38097">
        <w:trPr>
          <w:trHeight w:val="683" w:hRule="atLeast"/>
        </w:trPr>
        <w:tc>
          <w:tcPr>
            <w:tcW w:w="1696" w:type="dxa"/>
          </w:tcPr>
          <w:p w14:paraId="14FCFE74">
            <w:pPr>
              <w:pStyle w:val="14"/>
              <w:rPr>
                <w:rFonts w:cs="Times New Roman"/>
              </w:rPr>
            </w:pPr>
            <w:r>
              <w:rPr>
                <w:rStyle w:val="13"/>
                <w:rFonts w:cs="Times New Roman"/>
                <w:color w:val="1A1C1E"/>
                <w:shd w:val="clear" w:color="auto" w:fill="FFFFFF"/>
              </w:rPr>
              <w:t>商业模式</w:t>
            </w:r>
          </w:p>
        </w:tc>
        <w:tc>
          <w:tcPr>
            <w:tcW w:w="2694" w:type="dxa"/>
          </w:tcPr>
          <w:p w14:paraId="4A18662D">
            <w:pPr>
              <w:pStyle w:val="14"/>
              <w:rPr>
                <w:rFonts w:cs="Times New Roman"/>
              </w:rPr>
            </w:pPr>
            <w:r>
              <w:rPr>
                <w:rFonts w:cs="Times New Roman"/>
                <w:shd w:val="clear" w:color="auto" w:fill="FFFFFF"/>
              </w:rPr>
              <w:t>侧重交易佣金（电商）或导流（问诊）。</w:t>
            </w:r>
          </w:p>
        </w:tc>
        <w:tc>
          <w:tcPr>
            <w:tcW w:w="3906" w:type="dxa"/>
          </w:tcPr>
          <w:p w14:paraId="17E876FA">
            <w:pPr>
              <w:pStyle w:val="14"/>
              <w:rPr>
                <w:rFonts w:cs="Times New Roman"/>
              </w:rPr>
            </w:pPr>
            <w:r>
              <w:rPr>
                <w:rStyle w:val="13"/>
                <w:rFonts w:cs="Times New Roman"/>
                <w:color w:val="1A1C1E"/>
                <w:shd w:val="clear" w:color="auto" w:fill="FFFFFF"/>
              </w:rPr>
              <w:t>围绕数据服务（订阅）、专业问诊收费、B2B 赋能（医美/品牌）等多维度变现，收入结构更健康、更具想象空间。</w:t>
            </w:r>
          </w:p>
        </w:tc>
      </w:tr>
    </w:tbl>
    <w:p w14:paraId="724EF5B0">
      <w:pPr>
        <w:pStyle w:val="3"/>
        <w:ind w:firstLine="0" w:firstLineChars="0"/>
        <w:rPr>
          <w:rStyle w:val="13"/>
          <w:rFonts w:cs="Times New Roman"/>
        </w:rPr>
      </w:pPr>
      <w:r>
        <w:rPr>
          <w:rStyle w:val="13"/>
          <w:rFonts w:cs="Times New Roman"/>
        </w:rPr>
        <w:t>3.4 SWOT 综合分析</w:t>
      </w:r>
    </w:p>
    <w:p w14:paraId="772B628A">
      <w:pPr>
        <w:pStyle w:val="4"/>
        <w:ind w:firstLine="0" w:firstLineChars="0"/>
        <w:rPr>
          <w:sz w:val="28"/>
          <w:szCs w:val="28"/>
        </w:rPr>
      </w:pPr>
      <w:r>
        <w:rPr>
          <w:sz w:val="28"/>
          <w:szCs w:val="28"/>
        </w:rPr>
        <w:t>3.4.1 优势 (Strengths)</w:t>
      </w:r>
    </w:p>
    <w:p w14:paraId="6D381EB7">
      <w:pPr>
        <w:ind w:firstLine="482"/>
        <w:rPr>
          <w:rFonts w:cs="Times New Roman"/>
          <w:b/>
          <w:bCs/>
        </w:rPr>
      </w:pPr>
      <w:r>
        <w:rPr>
          <w:rStyle w:val="13"/>
          <w:rFonts w:cs="Times New Roman"/>
          <w:b/>
          <w:bCs/>
          <w:color w:val="1A1C1E"/>
        </w:rPr>
        <w:t>（一）AI 驱动的核心技术壁垒 (S1)</w:t>
      </w:r>
    </w:p>
    <w:p w14:paraId="21D1C34E">
      <w:pPr>
        <w:pStyle w:val="15"/>
        <w:shd w:val="clear" w:color="auto" w:fill="FFFFFF"/>
        <w:spacing w:before="0" w:beforeAutospacing="0" w:after="0" w:afterAutospacing="0" w:line="300" w:lineRule="atLeast"/>
        <w:ind w:firstLine="482"/>
        <w:rPr>
          <w:rFonts w:ascii="Times New Roman" w:hAnsi="Times New Roman" w:cs="Times New Roman"/>
          <w:color w:val="1A1C1E"/>
        </w:rPr>
      </w:pPr>
      <w:bookmarkStart w:id="0" w:name="OLE_LINK1"/>
      <w:r>
        <w:rPr>
          <w:rStyle w:val="13"/>
          <w:rFonts w:ascii="Times New Roman" w:hAnsi="Times New Roman" w:cs="Times New Roman"/>
          <w:b/>
          <w:bCs/>
          <w:color w:val="1A1C1E"/>
        </w:rPr>
        <w:t>肌智管家</w:t>
      </w:r>
      <w:bookmarkEnd w:id="0"/>
      <w:r>
        <w:rPr>
          <w:rStyle w:val="13"/>
          <w:rFonts w:ascii="Times New Roman" w:hAnsi="Times New Roman" w:cs="Times New Roman"/>
          <w:b/>
          <w:bCs/>
          <w:color w:val="1A1C1E"/>
        </w:rPr>
        <w:t>最大的优势是其在 AI 诊断方面的技术差异化和专业深度。</w:t>
      </w:r>
    </w:p>
    <w:p w14:paraId="78EB394B">
      <w:pPr>
        <w:pStyle w:val="15"/>
        <w:shd w:val="clear" w:color="auto" w:fill="FFFFFF"/>
        <w:spacing w:before="0" w:beforeAutospacing="0" w:after="45" w:afterAutospacing="0" w:line="300" w:lineRule="atLeast"/>
        <w:ind w:firstLine="482"/>
        <w:rPr>
          <w:rFonts w:ascii="Times New Roman" w:hAnsi="Times New Roman" w:cs="Times New Roman"/>
          <w:color w:val="1A1C1E"/>
        </w:rPr>
      </w:pPr>
      <w:r>
        <w:rPr>
          <w:rStyle w:val="13"/>
          <w:rFonts w:ascii="Times New Roman" w:hAnsi="Times New Roman" w:cs="Times New Roman"/>
          <w:b/>
          <w:bCs/>
          <w:color w:val="1A1C1E"/>
        </w:rPr>
        <w:t>高精度诊断：</w:t>
      </w:r>
      <w:r>
        <w:rPr>
          <w:rStyle w:val="13"/>
          <w:rFonts w:ascii="Times New Roman" w:hAnsi="Times New Roman" w:cs="Times New Roman"/>
          <w:color w:val="1A1C1E"/>
        </w:rPr>
        <w:t> 平台基于海量医疗级数据训练的 AI 大模型，</w:t>
      </w:r>
      <w:r>
        <w:rPr>
          <w:rStyle w:val="13"/>
          <w:rFonts w:ascii="Times New Roman" w:hAnsi="Times New Roman" w:cs="Times New Roman"/>
          <w:b/>
          <w:bCs/>
          <w:color w:val="1A1C1E"/>
        </w:rPr>
        <w:t>其中包含专业皮肤科医生的诊断报告和专业知识</w:t>
      </w:r>
      <w:r>
        <w:rPr>
          <w:rStyle w:val="13"/>
          <w:rFonts w:ascii="Times New Roman" w:hAnsi="Times New Roman" w:cs="Times New Roman"/>
          <w:color w:val="1A1C1E"/>
        </w:rPr>
        <w:t>，能够对用户皮肤进行即时、高精度的多维度深层分析。</w:t>
      </w:r>
    </w:p>
    <w:p w14:paraId="2FF07490">
      <w:pPr>
        <w:pStyle w:val="15"/>
        <w:shd w:val="clear" w:color="auto" w:fill="FFFFFF"/>
        <w:spacing w:before="0" w:beforeAutospacing="0" w:after="45" w:afterAutospacing="0" w:line="300" w:lineRule="atLeast"/>
        <w:ind w:firstLine="482"/>
        <w:rPr>
          <w:rFonts w:ascii="Times New Roman" w:hAnsi="Times New Roman" w:cs="Times New Roman"/>
          <w:color w:val="1A1C1E"/>
        </w:rPr>
      </w:pPr>
      <w:r>
        <w:rPr>
          <w:rStyle w:val="13"/>
          <w:rFonts w:ascii="Times New Roman" w:hAnsi="Times New Roman" w:cs="Times New Roman"/>
          <w:b/>
          <w:bCs/>
          <w:color w:val="1A1C1E"/>
        </w:rPr>
        <w:t>应用潜力：</w:t>
      </w:r>
      <w:r>
        <w:rPr>
          <w:rStyle w:val="13"/>
          <w:rFonts w:ascii="Times New Roman" w:hAnsi="Times New Roman" w:cs="Times New Roman"/>
          <w:color w:val="1A1C1E"/>
        </w:rPr>
        <w:t> 这一核心技术不仅能自动生成个性化护肤方案，同时具备“AI 报告先行，赋能医生” 的潜力，作为辅助诊断工具，实现未来与专业医疗服务的无缝连接。这一技术壁垒是区别于传统美妆 App 的关键，也是我们实现</w:t>
      </w:r>
      <w:r>
        <w:rPr>
          <w:rStyle w:val="13"/>
          <w:rFonts w:ascii="Times New Roman" w:hAnsi="Times New Roman" w:cs="Times New Roman"/>
          <w:b/>
          <w:bCs/>
          <w:color w:val="1A1C1E"/>
        </w:rPr>
        <w:t>高效、客观</w:t>
      </w:r>
      <w:r>
        <w:rPr>
          <w:rStyle w:val="13"/>
          <w:rFonts w:ascii="Times New Roman" w:hAnsi="Times New Roman" w:cs="Times New Roman"/>
          <w:color w:val="1A1C1E"/>
        </w:rPr>
        <w:t>诊断的基石。</w:t>
      </w:r>
    </w:p>
    <w:p w14:paraId="6DF13AC5">
      <w:pPr>
        <w:ind w:firstLine="482"/>
        <w:rPr>
          <w:rFonts w:cs="Times New Roman"/>
          <w:b/>
          <w:bCs/>
        </w:rPr>
      </w:pPr>
      <w:r>
        <w:rPr>
          <w:rStyle w:val="13"/>
          <w:rFonts w:cs="Times New Roman"/>
          <w:b/>
          <w:bCs/>
          <w:color w:val="1A1C1E"/>
        </w:rPr>
        <w:t>（二）数据驱动的高粘性服务闭环 (S2)</w:t>
      </w:r>
    </w:p>
    <w:p w14:paraId="70829F2A">
      <w:pPr>
        <w:pStyle w:val="15"/>
        <w:shd w:val="clear" w:color="auto" w:fill="FFFFFF"/>
        <w:spacing w:before="0" w:beforeAutospacing="0" w:after="0" w:afterAutospacing="0" w:line="300" w:lineRule="atLeast"/>
        <w:ind w:firstLine="482"/>
        <w:rPr>
          <w:rFonts w:ascii="Times New Roman" w:hAnsi="Times New Roman" w:cs="Times New Roman"/>
          <w:color w:val="1A1C1E"/>
        </w:rPr>
      </w:pPr>
      <w:r>
        <w:rPr>
          <w:rStyle w:val="13"/>
          <w:rFonts w:ascii="Times New Roman" w:hAnsi="Times New Roman" w:cs="Times New Roman"/>
          <w:b/>
          <w:bCs/>
          <w:color w:val="1A1C1E"/>
        </w:rPr>
        <w:t>本项目提供的是数据支持下的持续性健康管理和社区价值。</w:t>
      </w:r>
      <w:r>
        <w:rPr>
          <w:rStyle w:val="13"/>
          <w:rFonts w:ascii="Times New Roman" w:hAnsi="Times New Roman" w:cs="Times New Roman"/>
          <w:color w:val="1A1C1E"/>
        </w:rPr>
        <w:t> 平台形成了 </w:t>
      </w:r>
      <w:r>
        <w:rPr>
          <w:rStyle w:val="13"/>
          <w:rFonts w:ascii="Times New Roman" w:hAnsi="Times New Roman" w:cs="Times New Roman"/>
          <w:b/>
          <w:bCs/>
          <w:color w:val="1A1C1E"/>
        </w:rPr>
        <w:t>“AI检测-诊断-方案-问诊-追踪-社区”</w:t>
      </w:r>
      <w:r>
        <w:rPr>
          <w:rStyle w:val="13"/>
          <w:rFonts w:ascii="Times New Roman" w:hAnsi="Times New Roman" w:cs="Times New Roman"/>
          <w:color w:val="1A1C1E"/>
        </w:rPr>
        <w:t> 的完整服务闭环，将专业服务融入日常管理。</w:t>
      </w:r>
    </w:p>
    <w:p w14:paraId="74DF497C">
      <w:pPr>
        <w:pStyle w:val="15"/>
        <w:shd w:val="clear" w:color="auto" w:fill="FFFFFF"/>
        <w:spacing w:before="0" w:beforeAutospacing="0" w:after="45" w:afterAutospacing="0" w:line="300" w:lineRule="atLeast"/>
        <w:ind w:firstLine="482"/>
        <w:rPr>
          <w:rFonts w:ascii="Times New Roman" w:hAnsi="Times New Roman" w:cs="Times New Roman"/>
          <w:color w:val="1A1C1E"/>
        </w:rPr>
      </w:pPr>
      <w:r>
        <w:rPr>
          <w:rStyle w:val="13"/>
          <w:rFonts w:ascii="Times New Roman" w:hAnsi="Times New Roman" w:cs="Times New Roman"/>
          <w:b/>
          <w:bCs/>
          <w:color w:val="1A1C1E"/>
        </w:rPr>
        <w:t>社区价值：</w:t>
      </w:r>
      <w:r>
        <w:rPr>
          <w:rStyle w:val="13"/>
          <w:rFonts w:ascii="Times New Roman" w:hAnsi="Times New Roman" w:cs="Times New Roman"/>
          <w:color w:val="1A1C1E"/>
        </w:rPr>
        <w:t> 用户可在社区内分享经验、讨论产品、建立护肤交流，极大地增强了平台的使用频率和用户粘性。</w:t>
      </w:r>
    </w:p>
    <w:p w14:paraId="135B774B">
      <w:pPr>
        <w:pStyle w:val="15"/>
        <w:shd w:val="clear" w:color="auto" w:fill="FFFFFF"/>
        <w:spacing w:before="0" w:beforeAutospacing="0" w:after="45" w:afterAutospacing="0" w:line="300" w:lineRule="atLeast"/>
        <w:ind w:firstLine="482"/>
        <w:rPr>
          <w:rFonts w:ascii="Times New Roman" w:hAnsi="Times New Roman" w:cs="Times New Roman"/>
          <w:color w:val="1A1C1E"/>
        </w:rPr>
      </w:pPr>
      <w:r>
        <w:rPr>
          <w:rStyle w:val="13"/>
          <w:rFonts w:ascii="Times New Roman" w:hAnsi="Times New Roman" w:cs="Times New Roman"/>
          <w:b/>
          <w:bCs/>
          <w:color w:val="1A1C1E"/>
        </w:rPr>
        <w:t>自我迭代：</w:t>
      </w:r>
      <w:r>
        <w:rPr>
          <w:rStyle w:val="13"/>
          <w:rFonts w:ascii="Times New Roman" w:hAnsi="Times New Roman" w:cs="Times New Roman"/>
          <w:color w:val="1A1C1E"/>
        </w:rPr>
        <w:t> 每一次用户使用都作为数据积累，实现模型和服务的 </w:t>
      </w:r>
      <w:r>
        <w:rPr>
          <w:rStyle w:val="13"/>
          <w:rFonts w:ascii="Times New Roman" w:hAnsi="Times New Roman" w:cs="Times New Roman"/>
          <w:b/>
          <w:bCs/>
          <w:color w:val="1A1C1E"/>
        </w:rPr>
        <w:t>“越用越准”</w:t>
      </w:r>
      <w:r>
        <w:rPr>
          <w:rStyle w:val="13"/>
          <w:rFonts w:ascii="Times New Roman" w:hAnsi="Times New Roman" w:cs="Times New Roman"/>
          <w:color w:val="1A1C1E"/>
        </w:rPr>
        <w:t> 的良性飞轮效应，提供了持续性的用户价值。</w:t>
      </w:r>
    </w:p>
    <w:p w14:paraId="308513D9">
      <w:pPr>
        <w:ind w:firstLine="482"/>
        <w:rPr>
          <w:rFonts w:cs="Times New Roman"/>
          <w:b/>
          <w:bCs/>
        </w:rPr>
      </w:pPr>
      <w:r>
        <w:rPr>
          <w:rStyle w:val="13"/>
          <w:rFonts w:cs="Times New Roman"/>
          <w:b/>
          <w:bCs/>
          <w:color w:val="1A1C1E"/>
        </w:rPr>
        <w:t>（三）核心市场支撑与渠道优势 (S3)</w:t>
      </w:r>
    </w:p>
    <w:p w14:paraId="14DB3959">
      <w:pPr>
        <w:pStyle w:val="15"/>
        <w:shd w:val="clear" w:color="auto" w:fill="FFFFFF"/>
        <w:spacing w:before="0" w:beforeAutospacing="0" w:after="0" w:afterAutospacing="0" w:line="300" w:lineRule="atLeast"/>
        <w:ind w:firstLine="482"/>
        <w:rPr>
          <w:rFonts w:ascii="Times New Roman" w:hAnsi="Times New Roman" w:cs="Times New Roman"/>
          <w:color w:val="1A1C1E"/>
        </w:rPr>
      </w:pPr>
      <w:r>
        <w:rPr>
          <w:rStyle w:val="13"/>
          <w:rFonts w:ascii="Times New Roman" w:hAnsi="Times New Roman" w:cs="Times New Roman"/>
          <w:b/>
          <w:bCs/>
          <w:color w:val="1A1C1E"/>
        </w:rPr>
        <w:t>本项目的业务模式高度契合当前市场的主流消费习惯和需求升级趋势。</w:t>
      </w:r>
    </w:p>
    <w:p w14:paraId="15D42879">
      <w:pPr>
        <w:pStyle w:val="15"/>
        <w:shd w:val="clear" w:color="auto" w:fill="FFFFFF"/>
        <w:spacing w:before="0" w:beforeAutospacing="0" w:after="45" w:afterAutospacing="0" w:line="300" w:lineRule="atLeast"/>
        <w:ind w:firstLine="482"/>
        <w:rPr>
          <w:rFonts w:ascii="Times New Roman" w:hAnsi="Times New Roman" w:cs="Times New Roman"/>
          <w:color w:val="1A1C1E"/>
        </w:rPr>
      </w:pPr>
      <w:r>
        <w:rPr>
          <w:rStyle w:val="13"/>
          <w:rFonts w:ascii="Times New Roman" w:hAnsi="Times New Roman" w:cs="Times New Roman"/>
          <w:b/>
          <w:bCs/>
          <w:color w:val="1A1C1E"/>
        </w:rPr>
        <w:t>线上渠道主导：</w:t>
      </w:r>
      <w:r>
        <w:rPr>
          <w:rStyle w:val="13"/>
          <w:rFonts w:ascii="Times New Roman" w:hAnsi="Times New Roman" w:cs="Times New Roman"/>
          <w:color w:val="1A1C1E"/>
        </w:rPr>
        <w:t> </w:t>
      </w:r>
      <w:r>
        <w:rPr>
          <w:rStyle w:val="13"/>
          <w:rFonts w:ascii="Times New Roman" w:hAnsi="Times New Roman" w:cs="Times New Roman"/>
          <w:b/>
          <w:bCs/>
          <w:color w:val="1A1C1E"/>
        </w:rPr>
        <w:t>70% 的消费者更趋于通过线上平台购买化妆品</w:t>
      </w:r>
      <w:r>
        <w:rPr>
          <w:rStyle w:val="13"/>
          <w:rFonts w:ascii="Times New Roman" w:hAnsi="Times New Roman" w:cs="Times New Roman"/>
          <w:color w:val="1A1C1E"/>
        </w:rPr>
        <w:t>（来源：央广网、开源证券研究所）。本项目的移动应用模式完全符合这一线上主导的消费习惯，是精准电商导流和高效获客的战略基础。</w:t>
      </w:r>
    </w:p>
    <w:p w14:paraId="7BE08BDC">
      <w:pPr>
        <w:pStyle w:val="15"/>
        <w:shd w:val="clear" w:color="auto" w:fill="FFFFFF"/>
        <w:spacing w:before="0" w:beforeAutospacing="0" w:after="45" w:afterAutospacing="0" w:line="300" w:lineRule="atLeast"/>
        <w:ind w:firstLine="482"/>
        <w:rPr>
          <w:rFonts w:ascii="Times New Roman" w:hAnsi="Times New Roman" w:cs="Times New Roman"/>
          <w:color w:val="1A1C1E"/>
        </w:rPr>
      </w:pPr>
      <w:r>
        <w:rPr>
          <w:rStyle w:val="13"/>
          <w:rFonts w:ascii="Times New Roman" w:hAnsi="Times New Roman" w:cs="Times New Roman"/>
          <w:b/>
          <w:bCs/>
          <w:color w:val="1A1C1E"/>
        </w:rPr>
        <w:t>需求基础：</w:t>
      </w:r>
      <w:r>
        <w:rPr>
          <w:rStyle w:val="13"/>
          <w:rFonts w:ascii="Times New Roman" w:hAnsi="Times New Roman" w:cs="Times New Roman"/>
          <w:color w:val="1A1C1E"/>
        </w:rPr>
        <w:t> 护肤品市场规模巨大（2025 年有望达到 </w:t>
      </w:r>
      <w:r>
        <w:rPr>
          <w:rStyle w:val="13"/>
          <w:rFonts w:ascii="Times New Roman" w:hAnsi="Times New Roman" w:cs="Times New Roman"/>
          <w:b/>
          <w:bCs/>
          <w:color w:val="1A1C1E"/>
        </w:rPr>
        <w:t>3186 亿元人民币</w:t>
      </w:r>
      <w:r>
        <w:rPr>
          <w:rStyle w:val="13"/>
          <w:rFonts w:ascii="Times New Roman" w:hAnsi="Times New Roman" w:cs="Times New Roman"/>
          <w:color w:val="1A1C1E"/>
        </w:rPr>
        <w:t>），且消费者对</w:t>
      </w:r>
      <w:r>
        <w:rPr>
          <w:rStyle w:val="13"/>
          <w:rFonts w:ascii="Times New Roman" w:hAnsi="Times New Roman" w:cs="Times New Roman"/>
          <w:b/>
          <w:bCs/>
          <w:color w:val="1A1C1E"/>
        </w:rPr>
        <w:t>功效、成分</w:t>
      </w:r>
      <w:r>
        <w:rPr>
          <w:rStyle w:val="13"/>
          <w:rFonts w:ascii="Times New Roman" w:hAnsi="Times New Roman" w:cs="Times New Roman"/>
          <w:color w:val="1A1C1E"/>
        </w:rPr>
        <w:t>的关注度空前高涨，急需</w:t>
      </w:r>
      <w:r>
        <w:rPr>
          <w:rStyle w:val="13"/>
          <w:rFonts w:ascii="Times New Roman" w:hAnsi="Times New Roman" w:cs="Times New Roman"/>
          <w:b/>
          <w:bCs/>
          <w:color w:val="1A1C1E"/>
        </w:rPr>
        <w:t>肌智管家</w:t>
      </w:r>
      <w:r>
        <w:rPr>
          <w:rStyle w:val="13"/>
          <w:rFonts w:ascii="Times New Roman" w:hAnsi="Times New Roman" w:cs="Times New Roman"/>
          <w:color w:val="1A1C1E"/>
        </w:rPr>
        <w:t>这种数据驱动的专业解决方案。</w:t>
      </w:r>
    </w:p>
    <w:p w14:paraId="146B97CA">
      <w:pPr>
        <w:widowControl/>
        <w:ind w:firstLine="480"/>
        <w:jc w:val="left"/>
        <w:rPr>
          <w:rFonts w:cs="Times New Roman"/>
        </w:rPr>
      </w:pPr>
      <w:r>
        <w:rPr>
          <w:rFonts w:cs="Times New Roman"/>
        </w:rPr>
        <w:br w:type="page"/>
      </w:r>
    </w:p>
    <w:p w14:paraId="19925420">
      <w:pPr>
        <w:pStyle w:val="4"/>
        <w:ind w:firstLine="0" w:firstLineChars="0"/>
        <w:rPr>
          <w:sz w:val="28"/>
          <w:szCs w:val="28"/>
        </w:rPr>
      </w:pPr>
      <w:r>
        <w:rPr>
          <w:sz w:val="28"/>
          <w:szCs w:val="28"/>
        </w:rPr>
        <w:t>3.4.2 劣势</w:t>
      </w:r>
    </w:p>
    <w:p w14:paraId="24456EFB">
      <w:pPr>
        <w:ind w:firstLine="482"/>
        <w:rPr>
          <w:rFonts w:cs="Times New Roman"/>
        </w:rPr>
      </w:pPr>
      <w:r>
        <w:rPr>
          <w:rStyle w:val="13"/>
          <w:rFonts w:cs="Times New Roman"/>
          <w:b/>
          <w:bCs/>
        </w:rPr>
        <w:t>（一）高昂的研发与合规成本 (W1)</w:t>
      </w:r>
    </w:p>
    <w:p w14:paraId="60FA164E">
      <w:pPr>
        <w:ind w:firstLine="482"/>
        <w:rPr>
          <w:rStyle w:val="13"/>
          <w:rFonts w:cs="Times New Roman"/>
          <w:color w:val="1A1C1E"/>
        </w:rPr>
      </w:pPr>
      <w:r>
        <w:rPr>
          <w:rStyle w:val="13"/>
          <w:rFonts w:cs="Times New Roman"/>
          <w:b/>
          <w:bCs/>
          <w:color w:val="1A1C1E"/>
        </w:rPr>
        <w:t>研发与运营成本：</w:t>
      </w:r>
      <w:r>
        <w:rPr>
          <w:rStyle w:val="13"/>
          <w:rFonts w:cs="Times New Roman"/>
          <w:color w:val="1A1C1E"/>
        </w:rPr>
        <w:t> 尽管我们降低了对专业医生的核心依赖，但 AI 大模型的训练、持续优化和迭代需要巨大的计算资源、技术人才和资金投入。此外，面对 AI 医疗辅助诊断领域的快速发展，软件和数据平台的维护成本也相对高昂。</w:t>
      </w:r>
    </w:p>
    <w:p w14:paraId="65E4FA3C">
      <w:pPr>
        <w:ind w:firstLine="482"/>
        <w:rPr>
          <w:rFonts w:cs="Times New Roman"/>
        </w:rPr>
      </w:pPr>
      <w:r>
        <w:rPr>
          <w:rStyle w:val="13"/>
          <w:rFonts w:cs="Times New Roman"/>
          <w:b/>
          <w:bCs/>
          <w:color w:val="1A1C1E"/>
        </w:rPr>
        <w:t>（二）数据隐私与信任建立挑战 (W2, W3)</w:t>
      </w:r>
    </w:p>
    <w:p w14:paraId="547615A8">
      <w:pPr>
        <w:ind w:firstLine="482"/>
        <w:rPr>
          <w:rFonts w:cs="Times New Roman"/>
        </w:rPr>
      </w:pPr>
      <w:r>
        <w:rPr>
          <w:rStyle w:val="13"/>
          <w:rFonts w:cs="Times New Roman"/>
          <w:b/>
          <w:bCs/>
          <w:color w:val="1A1C1E"/>
        </w:rPr>
        <w:t>数据隐私与安全风险：</w:t>
      </w:r>
      <w:r>
        <w:rPr>
          <w:rStyle w:val="13"/>
          <w:rFonts w:cs="Times New Roman"/>
          <w:color w:val="1A1C1E"/>
        </w:rPr>
        <w:t> 平台的核心服务涉及用户面部照片、皮肤健康数据等高度敏感的个人隐私。因此，对数据安全、存储和隐私保护的合规性要求极高，任何安全漏洞都可能对平台信誉造成致命打击。</w:t>
      </w:r>
    </w:p>
    <w:p w14:paraId="3229613C">
      <w:pPr>
        <w:ind w:firstLine="482"/>
        <w:rPr>
          <w:rFonts w:cs="Times New Roman"/>
        </w:rPr>
      </w:pPr>
      <w:r>
        <w:rPr>
          <w:rStyle w:val="13"/>
          <w:rFonts w:cs="Times New Roman"/>
          <w:b/>
          <w:bCs/>
          <w:color w:val="1A1C1E"/>
        </w:rPr>
        <w:t>信任建立与教育成本：</w:t>
      </w:r>
      <w:r>
        <w:rPr>
          <w:rStyle w:val="13"/>
          <w:rFonts w:cs="Times New Roman"/>
          <w:color w:val="1A1C1E"/>
        </w:rPr>
        <w:t> 用户对于 </w:t>
      </w:r>
      <w:r>
        <w:rPr>
          <w:rStyle w:val="13"/>
          <w:rFonts w:cs="Times New Roman"/>
          <w:b/>
          <w:bCs/>
          <w:color w:val="1A1C1E"/>
        </w:rPr>
        <w:t>AI 诊断结果的信任度需要时间培养</w:t>
      </w:r>
      <w:r>
        <w:rPr>
          <w:rStyle w:val="13"/>
          <w:rFonts w:cs="Times New Roman"/>
          <w:color w:val="1A1C1E"/>
        </w:rPr>
        <w:t>，尤其在涉及健康管理领域。初期推广需投入额外的市场教育成本，以说服用户接受 AI 诊断的客观性和有效性。</w:t>
      </w:r>
    </w:p>
    <w:p w14:paraId="5B2E499A">
      <w:pPr>
        <w:ind w:firstLine="482"/>
        <w:rPr>
          <w:rFonts w:cs="Times New Roman"/>
          <w:b/>
          <w:bCs/>
        </w:rPr>
      </w:pPr>
      <w:r>
        <w:rPr>
          <w:rStyle w:val="13"/>
          <w:rFonts w:cs="Times New Roman"/>
          <w:b/>
          <w:bCs/>
          <w:color w:val="1A1C1E"/>
        </w:rPr>
        <w:t>（三）市场拓展的外部依赖与风险 (W4)</w:t>
      </w:r>
    </w:p>
    <w:p w14:paraId="48F0E048">
      <w:pPr>
        <w:ind w:firstLine="482"/>
        <w:rPr>
          <w:rStyle w:val="13"/>
          <w:rFonts w:cs="Times New Roman"/>
          <w:color w:val="1A1C1E"/>
        </w:rPr>
      </w:pPr>
      <w:r>
        <w:rPr>
          <w:rStyle w:val="13"/>
          <w:rFonts w:cs="Times New Roman"/>
          <w:b/>
          <w:bCs/>
          <w:color w:val="1A1C1E"/>
        </w:rPr>
        <w:t>外部合作依赖与资质风险：</w:t>
      </w:r>
      <w:r>
        <w:rPr>
          <w:rStyle w:val="13"/>
          <w:rFonts w:cs="Times New Roman"/>
          <w:color w:val="1A1C1E"/>
        </w:rPr>
        <w:t> 尽管我们降低了医生依赖，但长远来看，若要进行“赋能医生”或提供更深度的问诊服务，仍需依赖与权威医疗机构的合作，这使得平台的快速拓展和资源整合面临外部挑战。同时，若未来涉及医疗诊断辅助功能，仍需密切关注和应对互联网医疗相关的</w:t>
      </w:r>
      <w:r>
        <w:rPr>
          <w:rStyle w:val="13"/>
          <w:rFonts w:cs="Times New Roman"/>
          <w:b/>
          <w:bCs/>
          <w:color w:val="1A1C1E"/>
        </w:rPr>
        <w:t>资质和政策不确定性风险</w:t>
      </w:r>
      <w:r>
        <w:rPr>
          <w:rStyle w:val="13"/>
          <w:rFonts w:cs="Times New Roman"/>
          <w:color w:val="1A1C1E"/>
        </w:rPr>
        <w:t>。</w:t>
      </w:r>
    </w:p>
    <w:p w14:paraId="383BAE9E">
      <w:pPr>
        <w:pStyle w:val="4"/>
        <w:ind w:firstLine="0" w:firstLineChars="0"/>
        <w:rPr>
          <w:sz w:val="28"/>
          <w:szCs w:val="28"/>
        </w:rPr>
      </w:pPr>
      <w:r>
        <w:rPr>
          <w:sz w:val="28"/>
          <w:szCs w:val="28"/>
        </w:rPr>
        <w:t>3.4.3 机会</w:t>
      </w:r>
    </w:p>
    <w:p w14:paraId="5FD3C34A">
      <w:pPr>
        <w:ind w:firstLine="482"/>
        <w:rPr>
          <w:rFonts w:cs="Times New Roman"/>
          <w:b/>
          <w:bCs/>
        </w:rPr>
      </w:pPr>
      <w:r>
        <w:rPr>
          <w:rStyle w:val="13"/>
          <w:rFonts w:cs="Times New Roman"/>
          <w:b/>
          <w:bCs/>
          <w:color w:val="1A1C1E"/>
        </w:rPr>
        <w:t>（一）巨大的市场规模与渠道优势 (O1)</w:t>
      </w:r>
    </w:p>
    <w:p w14:paraId="34E614F2">
      <w:pPr>
        <w:ind w:firstLine="482"/>
        <w:rPr>
          <w:rFonts w:cs="Times New Roman"/>
        </w:rPr>
      </w:pPr>
      <w:r>
        <w:rPr>
          <w:rStyle w:val="13"/>
          <w:rFonts w:cs="Times New Roman"/>
          <w:b/>
          <w:bCs/>
          <w:color w:val="1A1C1E"/>
        </w:rPr>
        <w:t>市场需求与线上渠道主导：</w:t>
      </w:r>
      <w:r>
        <w:rPr>
          <w:rStyle w:val="13"/>
          <w:rFonts w:cs="Times New Roman"/>
          <w:color w:val="1A1C1E"/>
        </w:rPr>
        <w:t>“颜值经济”盛行，护肤品市场规模巨大（2025 年有望达到 </w:t>
      </w:r>
      <w:r>
        <w:rPr>
          <w:rStyle w:val="13"/>
          <w:rFonts w:cs="Times New Roman"/>
          <w:b/>
          <w:bCs/>
          <w:color w:val="1A1C1E"/>
        </w:rPr>
        <w:t>3186 亿元人民币</w:t>
      </w:r>
      <w:r>
        <w:rPr>
          <w:rStyle w:val="13"/>
          <w:rFonts w:cs="Times New Roman"/>
          <w:color w:val="1A1C1E"/>
        </w:rPr>
        <w:t>）。更重要的是，</w:t>
      </w:r>
      <w:r>
        <w:rPr>
          <w:rStyle w:val="13"/>
          <w:rFonts w:cs="Times New Roman"/>
          <w:b/>
          <w:bCs/>
          <w:color w:val="1A1C1E"/>
        </w:rPr>
        <w:t>70% 的消费者更趋于通过线上平台购买化妆品</w:t>
      </w:r>
      <w:r>
        <w:rPr>
          <w:rStyle w:val="13"/>
          <w:rFonts w:cs="Times New Roman"/>
          <w:color w:val="1A1C1E"/>
        </w:rPr>
        <w:t>（来源：央广网、开源证券研究所），这为我们提供了天然的、高效的获客和产品导流渠道。我们可将线上流量直接转化为专业服务和销售收入。</w:t>
      </w:r>
    </w:p>
    <w:p w14:paraId="34C36A2D">
      <w:pPr>
        <w:ind w:firstLine="482"/>
        <w:rPr>
          <w:rFonts w:cs="Times New Roman"/>
          <w:b/>
          <w:bCs/>
        </w:rPr>
      </w:pPr>
      <w:r>
        <w:rPr>
          <w:rStyle w:val="13"/>
          <w:rFonts w:cs="Times New Roman"/>
          <w:b/>
          <w:bCs/>
          <w:color w:val="1A1C1E"/>
        </w:rPr>
        <w:t>（二）消费升级带来的精准需求爆发 (O2)</w:t>
      </w:r>
    </w:p>
    <w:p w14:paraId="750BE730">
      <w:pPr>
        <w:ind w:firstLine="482"/>
        <w:rPr>
          <w:rFonts w:cs="Times New Roman"/>
        </w:rPr>
      </w:pPr>
      <w:r>
        <w:rPr>
          <w:rStyle w:val="13"/>
          <w:rFonts w:cs="Times New Roman"/>
          <w:b/>
          <w:bCs/>
          <w:color w:val="1A1C1E"/>
        </w:rPr>
        <w:t>个性化与功效趋势不可逆转：</w:t>
      </w:r>
      <w:r>
        <w:rPr>
          <w:rStyle w:val="13"/>
          <w:rFonts w:cs="Times New Roman"/>
          <w:color w:val="1A1C1E"/>
        </w:rPr>
        <w:t>消费者对护肤品的认知已进入“成分党”和“功效党”阶段，厌倦了千篇一律的营销。市场对</w:t>
      </w:r>
      <w:r>
        <w:rPr>
          <w:rStyle w:val="13"/>
          <w:rFonts w:cs="Times New Roman"/>
          <w:b/>
          <w:bCs/>
          <w:color w:val="1A1C1E"/>
        </w:rPr>
        <w:t>基于定制化数据的精准解决方案</w:t>
      </w:r>
      <w:r>
        <w:rPr>
          <w:rStyle w:val="13"/>
          <w:rFonts w:cs="Times New Roman"/>
          <w:color w:val="1A1C1E"/>
        </w:rPr>
        <w:t>的需求空前高涨，这为“AI 驱动的个性化推荐”模式提供了巨大的市场空间和议价能力。</w:t>
      </w:r>
    </w:p>
    <w:p w14:paraId="6FF46BA5">
      <w:pPr>
        <w:ind w:firstLine="482"/>
        <w:rPr>
          <w:rFonts w:cs="Times New Roman"/>
          <w:b/>
          <w:bCs/>
        </w:rPr>
      </w:pPr>
      <w:r>
        <w:rPr>
          <w:rStyle w:val="13"/>
          <w:rFonts w:cs="Times New Roman"/>
          <w:b/>
          <w:bCs/>
          <w:color w:val="1A1C1E"/>
        </w:rPr>
        <w:t>（三）政策与技术环境的利好 (O3)</w:t>
      </w:r>
    </w:p>
    <w:p w14:paraId="69BA3BBD">
      <w:pPr>
        <w:ind w:firstLine="482"/>
        <w:rPr>
          <w:rFonts w:cs="Times New Roman"/>
        </w:rPr>
      </w:pPr>
      <w:r>
        <w:rPr>
          <w:rStyle w:val="13"/>
          <w:rFonts w:cs="Times New Roman"/>
          <w:b/>
          <w:bCs/>
          <w:color w:val="1A1C1E"/>
        </w:rPr>
        <w:t>远程健康管理普及：</w:t>
      </w:r>
      <w:r>
        <w:rPr>
          <w:rStyle w:val="13"/>
          <w:rFonts w:cs="Times New Roman"/>
          <w:color w:val="1A1C1E"/>
        </w:rPr>
        <w:t>我国互联网医疗用户已达 </w:t>
      </w:r>
      <w:r>
        <w:rPr>
          <w:rStyle w:val="13"/>
          <w:rFonts w:cs="Times New Roman"/>
          <w:b/>
          <w:bCs/>
          <w:color w:val="1A1C1E"/>
        </w:rPr>
        <w:t>4.18 亿人</w:t>
      </w:r>
      <w:r>
        <w:rPr>
          <w:rStyle w:val="13"/>
          <w:rFonts w:cs="Times New Roman"/>
          <w:color w:val="1A1C1E"/>
        </w:rPr>
        <w:t>（2024E），显示出用户对在线健康服务的接受度和使用率持续提高。虽然我们侧重皮肤健康管理，但宏观环境对远程数字化服务的普及是极大的利好。</w:t>
      </w:r>
    </w:p>
    <w:p w14:paraId="511A7BD7">
      <w:pPr>
        <w:ind w:firstLine="480"/>
        <w:rPr>
          <w:rFonts w:cs="Times New Roman"/>
        </w:rPr>
      </w:pPr>
      <w:r>
        <w:rPr>
          <w:rStyle w:val="13"/>
          <w:rFonts w:cs="Times New Roman"/>
          <w:color w:val="1A1C1E"/>
        </w:rPr>
        <w:t>（四）商业模式的多元化延伸 (O4)</w:t>
      </w:r>
    </w:p>
    <w:p w14:paraId="47C9FD38">
      <w:pPr>
        <w:ind w:firstLine="482"/>
        <w:rPr>
          <w:rFonts w:cs="Times New Roman"/>
        </w:rPr>
      </w:pPr>
      <w:r>
        <w:rPr>
          <w:rStyle w:val="13"/>
          <w:rFonts w:cs="Times New Roman"/>
          <w:b/>
          <w:bCs/>
          <w:color w:val="1A1C1E"/>
        </w:rPr>
        <w:t>商业模式多样化：</w:t>
      </w:r>
      <w:r>
        <w:rPr>
          <w:rStyle w:val="13"/>
          <w:rFonts w:cs="Times New Roman"/>
          <w:color w:val="1A1C1E"/>
        </w:rPr>
        <w:t>本项目的 AI 诊断和数据积累具备强大的商业延伸潜力，为项目提供了从单一服务向多领域变现的机会：</w:t>
      </w:r>
    </w:p>
    <w:p w14:paraId="452E2458">
      <w:pPr>
        <w:ind w:firstLine="482"/>
        <w:rPr>
          <w:rFonts w:cs="Times New Roman"/>
        </w:rPr>
      </w:pPr>
      <w:r>
        <w:rPr>
          <w:rStyle w:val="13"/>
          <w:rFonts w:cs="Times New Roman"/>
          <w:b/>
          <w:bCs/>
          <w:color w:val="1A1C1E"/>
        </w:rPr>
        <w:t>B2B 赋能：</w:t>
      </w:r>
      <w:r>
        <w:rPr>
          <w:rStyle w:val="13"/>
          <w:rFonts w:cs="Times New Roman"/>
          <w:color w:val="1A1C1E"/>
        </w:rPr>
        <w:t> 为医美机构、化妆品品牌和代工厂提供精准的用户数据分析和产品功效验证服务。</w:t>
      </w:r>
    </w:p>
    <w:p w14:paraId="67737AA9">
      <w:pPr>
        <w:ind w:firstLine="482"/>
        <w:rPr>
          <w:rFonts w:cs="Times New Roman"/>
        </w:rPr>
      </w:pPr>
      <w:r>
        <w:rPr>
          <w:rStyle w:val="13"/>
          <w:rFonts w:cs="Times New Roman"/>
          <w:b/>
          <w:bCs/>
          <w:color w:val="1A1C1E"/>
        </w:rPr>
        <w:t>高价值订阅：</w:t>
      </w:r>
      <w:r>
        <w:rPr>
          <w:rStyle w:val="13"/>
          <w:rFonts w:cs="Times New Roman"/>
          <w:color w:val="1A1C1E"/>
        </w:rPr>
        <w:t> 推出会员增值服务、私人定制报告订阅等，提高用户生命周期价值。</w:t>
      </w:r>
    </w:p>
    <w:p w14:paraId="52118EBD">
      <w:pPr>
        <w:ind w:firstLine="482"/>
        <w:rPr>
          <w:rFonts w:cs="Times New Roman"/>
        </w:rPr>
      </w:pPr>
      <w:r>
        <w:rPr>
          <w:rStyle w:val="13"/>
          <w:rFonts w:cs="Times New Roman"/>
          <w:b/>
          <w:bCs/>
          <w:color w:val="1A1C1E"/>
        </w:rPr>
        <w:t>精准电商：</w:t>
      </w:r>
      <w:r>
        <w:rPr>
          <w:rStyle w:val="13"/>
          <w:rFonts w:cs="Times New Roman"/>
          <w:color w:val="1A1C1E"/>
        </w:rPr>
        <w:t> 基于 AI 诊断结果，进行高转化率的精准产品电商导流。</w:t>
      </w:r>
    </w:p>
    <w:p w14:paraId="60758DD9">
      <w:pPr>
        <w:pStyle w:val="4"/>
        <w:ind w:firstLine="0" w:firstLineChars="0"/>
        <w:rPr>
          <w:sz w:val="28"/>
          <w:szCs w:val="28"/>
        </w:rPr>
      </w:pPr>
      <w:r>
        <w:rPr>
          <w:sz w:val="28"/>
          <w:szCs w:val="28"/>
        </w:rPr>
        <w:t>3.4.4 威胁</w:t>
      </w:r>
    </w:p>
    <w:p w14:paraId="3083CA5F">
      <w:pPr>
        <w:ind w:firstLine="482"/>
        <w:rPr>
          <w:rFonts w:cs="Times New Roman"/>
        </w:rPr>
      </w:pPr>
      <w:r>
        <w:rPr>
          <w:rStyle w:val="13"/>
          <w:rFonts w:cs="Times New Roman"/>
          <w:b/>
          <w:bCs/>
          <w:color w:val="1A1C1E"/>
        </w:rPr>
        <w:t>（一）现有巨头的跨界竞争 (T1)</w:t>
      </w:r>
    </w:p>
    <w:p w14:paraId="25C4CB34">
      <w:pPr>
        <w:ind w:firstLine="482"/>
        <w:rPr>
          <w:rFonts w:cs="Times New Roman"/>
        </w:rPr>
      </w:pPr>
      <w:r>
        <w:rPr>
          <w:rStyle w:val="13"/>
          <w:rFonts w:cs="Times New Roman"/>
          <w:b/>
          <w:bCs/>
          <w:color w:val="1A1C1E"/>
        </w:rPr>
        <w:t>市场竞争加剧与巨头跨界：</w:t>
      </w:r>
      <w:r>
        <w:rPr>
          <w:rStyle w:val="13"/>
          <w:rFonts w:cs="Times New Roman"/>
          <w:color w:val="1A1C1E"/>
        </w:rPr>
        <w:t>现有市场巨头随时可能凭借其庞大的用户基础、资本优势和成熟的电商/医疗体系进入本项目的赛道。</w:t>
      </w:r>
    </w:p>
    <w:p w14:paraId="5246393D">
      <w:pPr>
        <w:ind w:firstLine="482"/>
        <w:rPr>
          <w:rFonts w:cs="Times New Roman"/>
        </w:rPr>
      </w:pPr>
      <w:r>
        <w:rPr>
          <w:rStyle w:val="13"/>
          <w:rFonts w:cs="Times New Roman"/>
          <w:b/>
          <w:bCs/>
          <w:color w:val="1A1C1E"/>
        </w:rPr>
        <w:t>美妆电商巨头（如小红书）：</w:t>
      </w:r>
      <w:r>
        <w:rPr>
          <w:rStyle w:val="13"/>
          <w:rFonts w:cs="Times New Roman"/>
          <w:color w:val="1A1C1E"/>
        </w:rPr>
        <w:t> 可能会集成 AI 测肤功能，利用其高粘性社区和流量优势，迅速抢占用户。</w:t>
      </w:r>
    </w:p>
    <w:p w14:paraId="24DDE98C">
      <w:pPr>
        <w:ind w:firstLine="482"/>
        <w:rPr>
          <w:rFonts w:cs="Times New Roman"/>
        </w:rPr>
      </w:pPr>
      <w:r>
        <w:rPr>
          <w:rStyle w:val="13"/>
          <w:rFonts w:cs="Times New Roman"/>
          <w:b/>
          <w:bCs/>
          <w:color w:val="1A1C1E"/>
        </w:rPr>
        <w:t>综合医疗 App（如平安好医生）：</w:t>
      </w:r>
      <w:r>
        <w:rPr>
          <w:rStyle w:val="13"/>
          <w:rFonts w:cs="Times New Roman"/>
          <w:color w:val="1A1C1E"/>
        </w:rPr>
        <w:t> 可能会加强其皮肤科的线上服务，并增加数据化辅助工具，威胁我们的专业定位。</w:t>
      </w:r>
    </w:p>
    <w:p w14:paraId="2A0C61FD">
      <w:pPr>
        <w:ind w:firstLine="482"/>
        <w:rPr>
          <w:rFonts w:cs="Times New Roman"/>
          <w:b/>
          <w:bCs/>
        </w:rPr>
      </w:pPr>
      <w:bookmarkStart w:id="1" w:name="OLE_LINK3"/>
      <w:r>
        <w:rPr>
          <w:rStyle w:val="13"/>
          <w:rFonts w:cs="Times New Roman"/>
          <w:b/>
          <w:bCs/>
          <w:color w:val="1A1C1E"/>
        </w:rPr>
        <w:t>（二）</w:t>
      </w:r>
      <w:bookmarkEnd w:id="1"/>
      <w:r>
        <w:rPr>
          <w:rStyle w:val="13"/>
          <w:rFonts w:cs="Times New Roman"/>
          <w:b/>
          <w:bCs/>
          <w:color w:val="1A1C1E"/>
        </w:rPr>
        <w:t>技术被模仿与资本追赶 (T2)</w:t>
      </w:r>
    </w:p>
    <w:p w14:paraId="0BEE3FA3">
      <w:pPr>
        <w:ind w:firstLine="482"/>
        <w:rPr>
          <w:rFonts w:cs="Times New Roman"/>
        </w:rPr>
      </w:pPr>
      <w:r>
        <w:rPr>
          <w:rStyle w:val="13"/>
          <w:rFonts w:cs="Times New Roman"/>
          <w:b/>
          <w:bCs/>
          <w:color w:val="1A1C1E"/>
        </w:rPr>
        <w:t>技术被模仿与资本追赶：</w:t>
      </w:r>
      <w:r>
        <w:rPr>
          <w:rStyle w:val="13"/>
          <w:rFonts w:cs="Times New Roman"/>
          <w:color w:val="1A1C1E"/>
        </w:rPr>
        <w:t>AI 测肤和皮肤健康管理技术并非绝对独家。虽然我们有先发优势，但科技巨头或大型医美/护肤品集团一旦确认赛道价值，可能通过重金投入和技术并购，快速复制甚至超越我们的技术，对我们的技术壁垒构成挑战。</w:t>
      </w:r>
    </w:p>
    <w:p w14:paraId="436F9B00">
      <w:pPr>
        <w:ind w:firstLine="482"/>
        <w:rPr>
          <w:rFonts w:cs="Times New Roman"/>
          <w:b/>
          <w:bCs/>
        </w:rPr>
      </w:pPr>
      <w:r>
        <w:rPr>
          <w:rStyle w:val="13"/>
          <w:rFonts w:cs="Times New Roman"/>
          <w:b/>
          <w:bCs/>
          <w:color w:val="1A1C1E"/>
        </w:rPr>
        <w:t>（三）合规与政策监管风险 (T3)</w:t>
      </w:r>
    </w:p>
    <w:p w14:paraId="1930157A">
      <w:pPr>
        <w:ind w:firstLine="482"/>
        <w:rPr>
          <w:rFonts w:cs="Times New Roman"/>
        </w:rPr>
      </w:pPr>
      <w:r>
        <w:rPr>
          <w:rStyle w:val="13"/>
          <w:rFonts w:cs="Times New Roman"/>
          <w:b/>
          <w:bCs/>
          <w:color w:val="1A1C1E"/>
        </w:rPr>
        <w:t>政策不确定性与合规风险：</w:t>
      </w:r>
      <w:r>
        <w:rPr>
          <w:rStyle w:val="13"/>
          <w:rFonts w:cs="Times New Roman"/>
          <w:color w:val="1A1C1E"/>
        </w:rPr>
        <w:t>国家对 AI 医疗诊断、远程健康管理、以及化妆品功效宣称的监管政策仍在不断完善和调整。平台需持续投入资源以应对严格的合规性要求，任何政策的突然变化都可能对业务模式和运营成本带来冲击。</w:t>
      </w:r>
    </w:p>
    <w:p w14:paraId="0834B463">
      <w:pPr>
        <w:widowControl/>
        <w:ind w:firstLine="480"/>
        <w:jc w:val="left"/>
        <w:rPr>
          <w:rFonts w:cs="Times New Roman"/>
        </w:rPr>
      </w:pPr>
      <w:r>
        <w:rPr>
          <w:rFonts w:cs="Times New Roman"/>
        </w:rPr>
        <w:br w:type="page"/>
      </w:r>
    </w:p>
    <w:p w14:paraId="46634F5C">
      <w:pPr>
        <w:pStyle w:val="2"/>
        <w:ind w:firstLine="643"/>
        <w:jc w:val="center"/>
        <w:rPr>
          <w:rStyle w:val="13"/>
        </w:rPr>
      </w:pPr>
      <w:r>
        <w:rPr>
          <w:rStyle w:val="13"/>
        </w:rPr>
        <w:t>4.</w:t>
      </w:r>
      <w:r>
        <w:rPr>
          <w:rStyle w:val="13"/>
          <w:rFonts w:hint="eastAsia"/>
          <w:lang w:val="en-US" w:eastAsia="zh-CN"/>
        </w:rPr>
        <w:t>0</w:t>
      </w:r>
      <w:r>
        <w:rPr>
          <w:rStyle w:val="13"/>
        </w:rPr>
        <w:t xml:space="preserve"> 营销与市场进入策略</w:t>
      </w:r>
    </w:p>
    <w:p w14:paraId="7A3D7023">
      <w:pPr>
        <w:pStyle w:val="3"/>
        <w:ind w:firstLine="198" w:firstLineChars="66"/>
        <w:rPr>
          <w:rFonts w:eastAsia="宋体" w:cs="Times New Roman"/>
          <w:sz w:val="27"/>
        </w:rPr>
      </w:pPr>
      <w:r>
        <w:rPr>
          <w:rStyle w:val="13"/>
          <w:rFonts w:cs="Times New Roman"/>
          <w:color w:val="1A1C1E"/>
        </w:rPr>
        <w:t>4.1 营销目标与分阶段增长计划</w:t>
      </w:r>
    </w:p>
    <w:p w14:paraId="5B802D81">
      <w:pPr>
        <w:ind w:firstLine="482"/>
        <w:rPr>
          <w:rFonts w:cs="Times New Roman"/>
        </w:rPr>
      </w:pPr>
      <w:r>
        <w:rPr>
          <w:rStyle w:val="13"/>
          <w:rFonts w:cs="Times New Roman"/>
          <w:b/>
          <w:bCs/>
          <w:color w:val="1A1C1E"/>
          <w:shd w:val="clear" w:color="auto" w:fill="FFFFFF"/>
        </w:rPr>
        <w:t>核心营销目标：</w:t>
      </w:r>
      <w:r>
        <w:rPr>
          <w:rFonts w:cs="Times New Roman"/>
        </w:rPr>
        <w:t>在第一年内，快速建立“肌智管家”在 “AI 驱动的科学护肤” 领域的专业心智地位，通过线上内容和品牌合作实现高效获客，并完成 B2C 和 B2B2C 变现模式的初步验证。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1560"/>
        <w:gridCol w:w="2976"/>
        <w:gridCol w:w="2631"/>
      </w:tblGrid>
      <w:tr w14:paraId="46520611">
        <w:trPr>
          <w:trHeight w:val="375" w:hRule="atLeast"/>
        </w:trPr>
        <w:tc>
          <w:tcPr>
            <w:tcW w:w="1129" w:type="dxa"/>
          </w:tcPr>
          <w:p w14:paraId="35D034FE">
            <w:pPr>
              <w:ind w:firstLine="0" w:firstLineChars="0"/>
              <w:rPr>
                <w:rFonts w:cs="Times New Roman"/>
              </w:rPr>
            </w:pPr>
            <w:r>
              <w:rPr>
                <w:rFonts w:cs="Times New Roman"/>
                <w:b/>
                <w:bCs/>
                <w:color w:val="1A1C1E"/>
                <w:sz w:val="21"/>
                <w:szCs w:val="21"/>
                <w:shd w:val="clear" w:color="auto" w:fill="FFFFFF"/>
              </w:rPr>
              <w:t>阶段</w:t>
            </w:r>
          </w:p>
        </w:tc>
        <w:tc>
          <w:tcPr>
            <w:tcW w:w="1560" w:type="dxa"/>
          </w:tcPr>
          <w:p w14:paraId="2A2DD933">
            <w:pPr>
              <w:ind w:firstLine="0" w:firstLineChars="0"/>
              <w:rPr>
                <w:rFonts w:cs="Times New Roman"/>
              </w:rPr>
            </w:pPr>
            <w:r>
              <w:rPr>
                <w:rFonts w:cs="Times New Roman"/>
                <w:b/>
                <w:bCs/>
                <w:color w:val="1A1C1E"/>
                <w:sz w:val="21"/>
                <w:szCs w:val="21"/>
                <w:shd w:val="clear" w:color="auto" w:fill="FFFFFF"/>
              </w:rPr>
              <w:t>时间跨度</w:t>
            </w:r>
          </w:p>
        </w:tc>
        <w:tc>
          <w:tcPr>
            <w:tcW w:w="2976" w:type="dxa"/>
          </w:tcPr>
          <w:p w14:paraId="74170CF5">
            <w:pPr>
              <w:ind w:firstLine="0" w:firstLineChars="0"/>
              <w:rPr>
                <w:rFonts w:cs="Times New Roman"/>
              </w:rPr>
            </w:pPr>
            <w:r>
              <w:rPr>
                <w:rFonts w:cs="Times New Roman"/>
                <w:b/>
                <w:bCs/>
                <w:color w:val="1A1C1E"/>
                <w:sz w:val="21"/>
                <w:szCs w:val="21"/>
                <w:shd w:val="clear" w:color="auto" w:fill="FFFFFF"/>
              </w:rPr>
              <w:t>核心目标</w:t>
            </w:r>
          </w:p>
        </w:tc>
        <w:tc>
          <w:tcPr>
            <w:tcW w:w="2631" w:type="dxa"/>
          </w:tcPr>
          <w:p w14:paraId="6F0C1C1E">
            <w:pPr>
              <w:ind w:firstLine="0" w:firstLineChars="0"/>
              <w:rPr>
                <w:rFonts w:cs="Times New Roman"/>
              </w:rPr>
            </w:pPr>
            <w:r>
              <w:rPr>
                <w:rFonts w:cs="Times New Roman"/>
                <w:b/>
                <w:bCs/>
                <w:color w:val="1A1C1E"/>
                <w:sz w:val="21"/>
                <w:szCs w:val="21"/>
                <w:shd w:val="clear" w:color="auto" w:fill="FFFFFF"/>
              </w:rPr>
              <w:t>关键绩效指标 (KPI)</w:t>
            </w:r>
          </w:p>
        </w:tc>
      </w:tr>
      <w:tr w14:paraId="298B1C30">
        <w:tc>
          <w:tcPr>
            <w:tcW w:w="1129" w:type="dxa"/>
          </w:tcPr>
          <w:p w14:paraId="0C346FB9">
            <w:pPr>
              <w:ind w:firstLine="0" w:firstLineChars="0"/>
              <w:rPr>
                <w:rFonts w:cs="Times New Roman"/>
              </w:rPr>
            </w:pPr>
            <w:r>
              <w:rPr>
                <w:rStyle w:val="13"/>
                <w:rFonts w:cs="Times New Roman"/>
                <w:b/>
                <w:bCs/>
                <w:color w:val="1A1C1E"/>
                <w:shd w:val="clear" w:color="auto" w:fill="FFFFFF"/>
              </w:rPr>
              <w:t>第一阶段</w:t>
            </w:r>
          </w:p>
        </w:tc>
        <w:tc>
          <w:tcPr>
            <w:tcW w:w="1560" w:type="dxa"/>
          </w:tcPr>
          <w:p w14:paraId="42CBCAB7">
            <w:pPr>
              <w:ind w:firstLine="0" w:firstLineChars="0"/>
              <w:rPr>
                <w:rFonts w:cs="Times New Roman"/>
              </w:rPr>
            </w:pPr>
            <w:r>
              <w:rPr>
                <w:rStyle w:val="13"/>
                <w:rFonts w:cs="Times New Roman"/>
                <w:b/>
                <w:bCs/>
                <w:color w:val="1A1C1E"/>
                <w:shd w:val="clear" w:color="auto" w:fill="FFFFFF"/>
              </w:rPr>
              <w:t>冷启动与模式验证（0-3个月）</w:t>
            </w:r>
          </w:p>
        </w:tc>
        <w:tc>
          <w:tcPr>
            <w:tcW w:w="2976" w:type="dxa"/>
          </w:tcPr>
          <w:p w14:paraId="67849F94">
            <w:pPr>
              <w:ind w:firstLine="0" w:firstLineChars="0"/>
              <w:rPr>
                <w:rFonts w:cs="Times New Roman"/>
              </w:rPr>
            </w:pPr>
            <w:r>
              <w:rPr>
                <w:rStyle w:val="13"/>
                <w:rFonts w:cs="Times New Roman"/>
                <w:color w:val="1A1C1E"/>
                <w:shd w:val="clear" w:color="auto" w:fill="FFFFFF"/>
              </w:rPr>
              <w:t>验证 </w:t>
            </w:r>
            <w:r>
              <w:rPr>
                <w:rStyle w:val="13"/>
                <w:rFonts w:cs="Times New Roman"/>
                <w:b/>
                <w:bCs/>
                <w:color w:val="1A1C1E"/>
                <w:shd w:val="clear" w:color="auto" w:fill="FFFFFF"/>
              </w:rPr>
              <w:t>“AI 免费测肤 → 付费转化”</w:t>
            </w:r>
            <w:r>
              <w:rPr>
                <w:rStyle w:val="13"/>
                <w:rFonts w:cs="Times New Roman"/>
                <w:color w:val="1A1C1E"/>
                <w:shd w:val="clear" w:color="auto" w:fill="FFFFFF"/>
              </w:rPr>
              <w:t> 路径；与头部品牌/电商平台达成初期合作；积累内容 IP 资产。</w:t>
            </w:r>
          </w:p>
        </w:tc>
        <w:tc>
          <w:tcPr>
            <w:tcW w:w="2631" w:type="dxa"/>
          </w:tcPr>
          <w:p w14:paraId="60221C77">
            <w:pPr>
              <w:ind w:firstLine="0" w:firstLineChars="0"/>
              <w:rPr>
                <w:rFonts w:cs="Times New Roman"/>
              </w:rPr>
            </w:pPr>
            <w:r>
              <w:rPr>
                <w:rStyle w:val="13"/>
                <w:rFonts w:cs="Times New Roman"/>
                <w:b/>
                <w:bCs/>
                <w:color w:val="1A1C1E"/>
                <w:shd w:val="clear" w:color="auto" w:fill="FFFFFF"/>
              </w:rPr>
              <w:t>App 下载量：5 万</w:t>
            </w:r>
            <w:r>
              <w:rPr>
                <w:rStyle w:val="13"/>
                <w:rFonts w:cs="Times New Roman"/>
                <w:color w:val="1A1C1E"/>
                <w:shd w:val="clear" w:color="auto" w:fill="FFFFFF"/>
              </w:rPr>
              <w:t>；</w:t>
            </w:r>
            <w:r>
              <w:rPr>
                <w:rStyle w:val="13"/>
                <w:rFonts w:cs="Times New Roman"/>
                <w:b/>
                <w:bCs/>
                <w:color w:val="1A1C1E"/>
                <w:shd w:val="clear" w:color="auto" w:fill="FFFFFF"/>
              </w:rPr>
              <w:t>B2C 付费转化率：1.5% - 2.0%</w:t>
            </w:r>
            <w:r>
              <w:rPr>
                <w:rStyle w:val="13"/>
                <w:rFonts w:cs="Times New Roman"/>
                <w:color w:val="1A1C1E"/>
                <w:shd w:val="clear" w:color="auto" w:fill="FFFFFF"/>
              </w:rPr>
              <w:t>（转化为付费问诊或订阅）；小红书/抖音粉丝：</w:t>
            </w:r>
            <w:r>
              <w:rPr>
                <w:rStyle w:val="13"/>
                <w:rFonts w:cs="Times New Roman"/>
                <w:b/>
                <w:bCs/>
                <w:color w:val="1A1C1E"/>
                <w:shd w:val="clear" w:color="auto" w:fill="FFFFFF"/>
              </w:rPr>
              <w:t>1 万</w:t>
            </w:r>
            <w:r>
              <w:rPr>
                <w:rStyle w:val="13"/>
                <w:rFonts w:cs="Times New Roman"/>
                <w:color w:val="1A1C1E"/>
                <w:shd w:val="clear" w:color="auto" w:fill="FFFFFF"/>
              </w:rPr>
              <w:t>；达成 </w:t>
            </w:r>
            <w:r>
              <w:rPr>
                <w:rStyle w:val="13"/>
                <w:rFonts w:cs="Times New Roman"/>
                <w:b/>
                <w:bCs/>
                <w:color w:val="1A1C1E"/>
                <w:shd w:val="clear" w:color="auto" w:fill="FFFFFF"/>
              </w:rPr>
              <w:t>1-2 个</w:t>
            </w:r>
            <w:r>
              <w:rPr>
                <w:rStyle w:val="13"/>
                <w:rFonts w:cs="Times New Roman"/>
                <w:color w:val="1A1C1E"/>
                <w:shd w:val="clear" w:color="auto" w:fill="FFFFFF"/>
              </w:rPr>
              <w:t>品牌/电商战略合作。</w:t>
            </w:r>
          </w:p>
        </w:tc>
      </w:tr>
      <w:tr w14:paraId="3303E9F2">
        <w:tc>
          <w:tcPr>
            <w:tcW w:w="1129" w:type="dxa"/>
          </w:tcPr>
          <w:p w14:paraId="454719AB">
            <w:pPr>
              <w:ind w:firstLine="0" w:firstLineChars="0"/>
              <w:rPr>
                <w:rFonts w:cs="Times New Roman"/>
              </w:rPr>
            </w:pPr>
            <w:r>
              <w:rPr>
                <w:rStyle w:val="13"/>
                <w:rFonts w:cs="Times New Roman"/>
                <w:b/>
                <w:bCs/>
                <w:color w:val="1A1C1E"/>
                <w:shd w:val="clear" w:color="auto" w:fill="FFFFFF"/>
              </w:rPr>
              <w:t>第二阶段</w:t>
            </w:r>
          </w:p>
        </w:tc>
        <w:tc>
          <w:tcPr>
            <w:tcW w:w="1560" w:type="dxa"/>
          </w:tcPr>
          <w:p w14:paraId="66D553FF">
            <w:pPr>
              <w:ind w:firstLine="0" w:firstLineChars="0"/>
              <w:rPr>
                <w:rFonts w:cs="Times New Roman"/>
              </w:rPr>
            </w:pPr>
            <w:r>
              <w:rPr>
                <w:rStyle w:val="13"/>
                <w:rFonts w:cs="Times New Roman"/>
                <w:b/>
                <w:bCs/>
                <w:color w:val="1A1C1E"/>
                <w:shd w:val="clear" w:color="auto" w:fill="FFFFFF"/>
              </w:rPr>
              <w:t>用户增长与渠道规模化（4-12个月</w:t>
            </w:r>
          </w:p>
        </w:tc>
        <w:tc>
          <w:tcPr>
            <w:tcW w:w="2976" w:type="dxa"/>
          </w:tcPr>
          <w:p w14:paraId="29832E2A">
            <w:pPr>
              <w:ind w:firstLine="0" w:firstLineChars="0"/>
              <w:rPr>
                <w:rFonts w:cs="Times New Roman"/>
              </w:rPr>
            </w:pPr>
            <w:r>
              <w:rPr>
                <w:rStyle w:val="13"/>
                <w:rFonts w:cs="Times New Roman"/>
                <w:color w:val="1A1C1E"/>
                <w:shd w:val="clear" w:color="auto" w:fill="FFFFFF"/>
              </w:rPr>
              <w:t>扩大用户规模，渗透</w:t>
            </w:r>
            <w:r>
              <w:rPr>
                <w:rStyle w:val="13"/>
                <w:rFonts w:cs="Times New Roman"/>
                <w:b/>
                <w:bCs/>
                <w:color w:val="1A1C1E"/>
                <w:shd w:val="clear" w:color="auto" w:fill="FFFFFF"/>
              </w:rPr>
              <w:t>新手入门党</w:t>
            </w:r>
            <w:r>
              <w:rPr>
                <w:rStyle w:val="13"/>
                <w:rFonts w:cs="Times New Roman"/>
                <w:color w:val="1A1C1E"/>
                <w:shd w:val="clear" w:color="auto" w:fill="FFFFFF"/>
              </w:rPr>
              <w:t>和</w:t>
            </w:r>
            <w:r>
              <w:rPr>
                <w:rStyle w:val="13"/>
                <w:rFonts w:cs="Times New Roman"/>
                <w:b/>
                <w:bCs/>
                <w:color w:val="1A1C1E"/>
                <w:shd w:val="clear" w:color="auto" w:fill="FFFFFF"/>
              </w:rPr>
              <w:t>特定场景用户</w:t>
            </w:r>
            <w:r>
              <w:rPr>
                <w:rStyle w:val="13"/>
                <w:rFonts w:cs="Times New Roman"/>
                <w:color w:val="1A1C1E"/>
                <w:shd w:val="clear" w:color="auto" w:fill="FFFFFF"/>
              </w:rPr>
              <w:t>；深化 B2B 赋能合作，实现稳定获客。</w:t>
            </w:r>
          </w:p>
        </w:tc>
        <w:tc>
          <w:tcPr>
            <w:tcW w:w="2631" w:type="dxa"/>
          </w:tcPr>
          <w:p w14:paraId="33C452DA">
            <w:pPr>
              <w:ind w:firstLine="0" w:firstLineChars="0"/>
              <w:rPr>
                <w:rFonts w:cs="Times New Roman"/>
              </w:rPr>
            </w:pPr>
            <w:r>
              <w:rPr>
                <w:rStyle w:val="13"/>
                <w:rFonts w:cs="Times New Roman"/>
                <w:b/>
                <w:bCs/>
                <w:color w:val="1A1C1E"/>
                <w:shd w:val="clear" w:color="auto" w:fill="FFFFFF"/>
              </w:rPr>
              <w:t>注册用户总数：10 万</w:t>
            </w:r>
            <w:r>
              <w:rPr>
                <w:rStyle w:val="13"/>
                <w:rFonts w:cs="Times New Roman"/>
                <w:color w:val="1A1C1E"/>
                <w:shd w:val="clear" w:color="auto" w:fill="FFFFFF"/>
              </w:rPr>
              <w:t>；</w:t>
            </w:r>
            <w:r>
              <w:rPr>
                <w:rStyle w:val="13"/>
                <w:rFonts w:cs="Times New Roman"/>
                <w:b/>
                <w:bCs/>
                <w:color w:val="1A1C1E"/>
                <w:shd w:val="clear" w:color="auto" w:fill="FFFFFF"/>
              </w:rPr>
              <w:t>电商导流 GMV：10 万/月</w:t>
            </w:r>
            <w:r>
              <w:rPr>
                <w:rStyle w:val="13"/>
                <w:rFonts w:cs="Times New Roman"/>
                <w:color w:val="1A1C1E"/>
                <w:shd w:val="clear" w:color="auto" w:fill="FFFFFF"/>
              </w:rPr>
              <w:t>（基于高精准度）；社区/社群活跃人数：</w:t>
            </w:r>
            <w:r>
              <w:rPr>
                <w:rStyle w:val="13"/>
                <w:rFonts w:cs="Times New Roman"/>
                <w:b/>
                <w:bCs/>
                <w:color w:val="1A1C1E"/>
                <w:shd w:val="clear" w:color="auto" w:fill="FFFFFF"/>
              </w:rPr>
              <w:t>5,000 人</w:t>
            </w:r>
            <w:r>
              <w:rPr>
                <w:rStyle w:val="13"/>
                <w:rFonts w:cs="Times New Roman"/>
                <w:color w:val="1A1C1E"/>
                <w:shd w:val="clear" w:color="auto" w:fill="FFFFFF"/>
              </w:rPr>
              <w:t>；B2B 合作机构/品牌：</w:t>
            </w:r>
            <w:r>
              <w:rPr>
                <w:rStyle w:val="13"/>
                <w:rFonts w:cs="Times New Roman"/>
                <w:b/>
                <w:bCs/>
                <w:color w:val="1A1C1E"/>
                <w:shd w:val="clear" w:color="auto" w:fill="FFFFFF"/>
              </w:rPr>
              <w:t>15 家</w:t>
            </w:r>
            <w:r>
              <w:rPr>
                <w:rStyle w:val="13"/>
                <w:rFonts w:cs="Times New Roman"/>
                <w:color w:val="1A1C1E"/>
                <w:shd w:val="clear" w:color="auto" w:fill="FFFFFF"/>
              </w:rPr>
              <w:t>。</w:t>
            </w:r>
          </w:p>
        </w:tc>
      </w:tr>
      <w:tr w14:paraId="1A4BFBB3">
        <w:tc>
          <w:tcPr>
            <w:tcW w:w="1129" w:type="dxa"/>
          </w:tcPr>
          <w:p w14:paraId="76B8BFEA">
            <w:pPr>
              <w:ind w:firstLine="0" w:firstLineChars="0"/>
              <w:rPr>
                <w:rFonts w:cs="Times New Roman"/>
              </w:rPr>
            </w:pPr>
            <w:r>
              <w:rPr>
                <w:rStyle w:val="13"/>
                <w:rFonts w:cs="Times New Roman"/>
                <w:b/>
                <w:bCs/>
                <w:color w:val="1A1C1E"/>
                <w:shd w:val="clear" w:color="auto" w:fill="FFFFFF"/>
              </w:rPr>
              <w:t>第三阶段</w:t>
            </w:r>
          </w:p>
        </w:tc>
        <w:tc>
          <w:tcPr>
            <w:tcW w:w="1560" w:type="dxa"/>
          </w:tcPr>
          <w:p w14:paraId="181502CC">
            <w:pPr>
              <w:ind w:firstLine="0" w:firstLineChars="0"/>
              <w:rPr>
                <w:rFonts w:cs="Times New Roman"/>
              </w:rPr>
            </w:pPr>
            <w:r>
              <w:rPr>
                <w:rStyle w:val="13"/>
                <w:rFonts w:cs="Times New Roman"/>
                <w:b/>
                <w:bCs/>
                <w:color w:val="1A1C1E"/>
                <w:shd w:val="clear" w:color="auto" w:fill="FFFFFF"/>
              </w:rPr>
              <w:t>市场成熟与盈利扩张（12个月后）</w:t>
            </w:r>
          </w:p>
        </w:tc>
        <w:tc>
          <w:tcPr>
            <w:tcW w:w="2976" w:type="dxa"/>
          </w:tcPr>
          <w:p w14:paraId="78043DB8">
            <w:pPr>
              <w:ind w:firstLine="0" w:firstLineChars="0"/>
              <w:rPr>
                <w:rFonts w:cs="Times New Roman"/>
              </w:rPr>
            </w:pPr>
            <w:r>
              <w:rPr>
                <w:rFonts w:cs="Times New Roman"/>
                <w:color w:val="1A1C1E"/>
                <w:shd w:val="clear" w:color="auto" w:fill="FFFFFF"/>
              </w:rPr>
              <w:t>持续优化数据闭环，实现规模化盈利，拓展 B2B 数据服务业务。</w:t>
            </w:r>
          </w:p>
        </w:tc>
        <w:tc>
          <w:tcPr>
            <w:tcW w:w="2631" w:type="dxa"/>
          </w:tcPr>
          <w:p w14:paraId="2850B829">
            <w:pPr>
              <w:ind w:firstLine="0" w:firstLineChars="0"/>
              <w:rPr>
                <w:rFonts w:cs="Times New Roman"/>
              </w:rPr>
            </w:pPr>
            <w:r>
              <w:rPr>
                <w:rStyle w:val="13"/>
                <w:rFonts w:cs="Times New Roman"/>
                <w:b/>
                <w:bCs/>
                <w:color w:val="1A1C1E"/>
                <w:shd w:val="clear" w:color="auto" w:fill="FFFFFF"/>
              </w:rPr>
              <w:t>注册用户总数：突破 50 万</w:t>
            </w:r>
            <w:r>
              <w:rPr>
                <w:rStyle w:val="13"/>
                <w:rFonts w:cs="Times New Roman"/>
                <w:color w:val="1A1C1E"/>
                <w:shd w:val="clear" w:color="auto" w:fill="FFFFFF"/>
              </w:rPr>
              <w:t>；</w:t>
            </w:r>
            <w:r>
              <w:rPr>
                <w:rStyle w:val="13"/>
                <w:rFonts w:cs="Times New Roman"/>
                <w:b/>
                <w:bCs/>
                <w:color w:val="1A1C1E"/>
                <w:shd w:val="clear" w:color="auto" w:fill="FFFFFF"/>
              </w:rPr>
              <w:t>月收入（MRR）：突破 50 万/月</w:t>
            </w:r>
            <w:r>
              <w:rPr>
                <w:rStyle w:val="13"/>
                <w:rFonts w:cs="Times New Roman"/>
                <w:color w:val="1A1C1E"/>
                <w:shd w:val="clear" w:color="auto" w:fill="FFFFFF"/>
              </w:rPr>
              <w:t>（通过订阅+问诊+导流）；内容 IP 曝光量：</w:t>
            </w:r>
            <w:r>
              <w:rPr>
                <w:rStyle w:val="13"/>
                <w:rFonts w:cs="Times New Roman"/>
                <w:b/>
                <w:bCs/>
                <w:color w:val="1A1C1E"/>
                <w:shd w:val="clear" w:color="auto" w:fill="FFFFFF"/>
              </w:rPr>
              <w:t>500 万/月</w:t>
            </w:r>
            <w:r>
              <w:rPr>
                <w:rStyle w:val="13"/>
                <w:rFonts w:cs="Times New Roman"/>
                <w:color w:val="1A1C1E"/>
                <w:shd w:val="clear" w:color="auto" w:fill="FFFFFF"/>
              </w:rPr>
              <w:t>；B2B 数据服务收入占比提升至 </w:t>
            </w:r>
            <w:r>
              <w:rPr>
                <w:rStyle w:val="13"/>
                <w:rFonts w:cs="Times New Roman"/>
                <w:b/>
                <w:bCs/>
                <w:color w:val="1A1C1E"/>
                <w:shd w:val="clear" w:color="auto" w:fill="FFFFFF"/>
              </w:rPr>
              <w:t>15%</w:t>
            </w:r>
            <w:r>
              <w:rPr>
                <w:rStyle w:val="13"/>
                <w:rFonts w:cs="Times New Roman"/>
                <w:color w:val="1A1C1E"/>
                <w:shd w:val="clear" w:color="auto" w:fill="FFFFFF"/>
              </w:rPr>
              <w:t>。</w:t>
            </w:r>
          </w:p>
        </w:tc>
      </w:tr>
    </w:tbl>
    <w:p w14:paraId="025127DB">
      <w:pPr>
        <w:pStyle w:val="3"/>
        <w:ind w:firstLine="0" w:firstLineChars="0"/>
        <w:rPr>
          <w:rFonts w:eastAsia="宋体" w:cs="Times New Roman"/>
          <w:sz w:val="27"/>
        </w:rPr>
      </w:pPr>
      <w:r>
        <w:rPr>
          <w:rStyle w:val="13"/>
          <w:rFonts w:cs="Times New Roman"/>
          <w:color w:val="1A1C1E"/>
        </w:rPr>
        <w:t>4.2 市场冷启动策略：线上内容驱动与合作转化</w:t>
      </w:r>
    </w:p>
    <w:p w14:paraId="7A0FDB69">
      <w:pPr>
        <w:ind w:firstLine="0" w:firstLineChars="0"/>
        <w:rPr>
          <w:rStyle w:val="13"/>
          <w:rFonts w:cs="Times New Roman"/>
          <w:color w:val="1A1C1E"/>
          <w:shd w:val="clear" w:color="auto" w:fill="FFFFFF"/>
        </w:rPr>
      </w:pPr>
      <w:r>
        <w:rPr>
          <w:rStyle w:val="13"/>
          <w:rFonts w:cs="Times New Roman"/>
          <w:color w:val="1A1C1E"/>
          <w:shd w:val="clear" w:color="auto" w:fill="FFFFFF"/>
        </w:rPr>
        <w:t>本项目将采取</w:t>
      </w:r>
      <w:r>
        <w:rPr>
          <w:rStyle w:val="13"/>
          <w:rFonts w:cs="Times New Roman"/>
          <w:b/>
          <w:bCs/>
          <w:color w:val="1A1C1E"/>
          <w:shd w:val="clear" w:color="auto" w:fill="FFFFFF"/>
        </w:rPr>
        <w:t>“线上内容获客”</w:t>
      </w:r>
      <w:r>
        <w:rPr>
          <w:rStyle w:val="13"/>
          <w:rFonts w:cs="Times New Roman"/>
          <w:color w:val="1A1C1E"/>
          <w:shd w:val="clear" w:color="auto" w:fill="FFFFFF"/>
        </w:rPr>
        <w:t>和</w:t>
      </w:r>
      <w:r>
        <w:rPr>
          <w:rStyle w:val="13"/>
          <w:rFonts w:cs="Times New Roman"/>
          <w:b/>
          <w:bCs/>
          <w:color w:val="1A1C1E"/>
          <w:shd w:val="clear" w:color="auto" w:fill="FFFFFF"/>
        </w:rPr>
        <w:t>“专业合作导流”</w:t>
      </w:r>
      <w:r>
        <w:rPr>
          <w:rStyle w:val="13"/>
          <w:rFonts w:cs="Times New Roman"/>
          <w:color w:val="1A1C1E"/>
          <w:shd w:val="clear" w:color="auto" w:fill="FFFFFF"/>
        </w:rPr>
        <w:t>双线并行策略，实现高效冷启动。</w:t>
      </w:r>
    </w:p>
    <w:p w14:paraId="6825D225">
      <w:pPr>
        <w:pStyle w:val="4"/>
        <w:ind w:firstLine="0" w:firstLineChars="0"/>
        <w:rPr>
          <w:sz w:val="28"/>
          <w:szCs w:val="28"/>
        </w:rPr>
      </w:pPr>
      <w:bookmarkStart w:id="2" w:name="OLE_LINK6"/>
      <w:r>
        <w:rPr>
          <w:sz w:val="28"/>
          <w:szCs w:val="28"/>
        </w:rPr>
        <w:t>4.2.1 线上内容获客与免费试用（核心 B2C 获客）</w:t>
      </w:r>
    </w:p>
    <w:p w14:paraId="485D03EC">
      <w:pPr>
        <w:widowControl/>
        <w:shd w:val="clear" w:color="auto" w:fill="FFFFFF"/>
        <w:spacing w:after="45" w:line="300" w:lineRule="atLeast"/>
        <w:ind w:firstLine="383" w:firstLineChars="182"/>
        <w:jc w:val="left"/>
        <w:rPr>
          <w:rStyle w:val="13"/>
          <w:rFonts w:cs="Times New Roman"/>
          <w:b/>
          <w:bCs/>
          <w:color w:val="1A1C1E"/>
        </w:rPr>
      </w:pPr>
      <w:bookmarkStart w:id="3" w:name="OLE_LINK5"/>
      <w:r>
        <w:rPr>
          <w:rStyle w:val="13"/>
          <w:rFonts w:cs="Times New Roman"/>
          <w:b/>
          <w:bCs/>
          <w:color w:val="1A1C1E"/>
        </w:rPr>
        <w:t>核心渠道：</w:t>
      </w:r>
    </w:p>
    <w:p w14:paraId="02B4A1E4">
      <w:pPr>
        <w:widowControl/>
        <w:shd w:val="clear" w:color="auto" w:fill="FFFFFF"/>
        <w:spacing w:after="45" w:line="300" w:lineRule="atLeast"/>
        <w:ind w:firstLine="482"/>
        <w:jc w:val="left"/>
        <w:rPr>
          <w:rFonts w:cs="Times New Roman"/>
          <w:color w:val="1A1C1E"/>
          <w:kern w:val="0"/>
        </w:rPr>
      </w:pPr>
      <w:r>
        <w:rPr>
          <w:rFonts w:cs="Times New Roman"/>
          <w:b/>
          <w:bCs/>
          <w:color w:val="1A1C1E"/>
          <w:kern w:val="0"/>
        </w:rPr>
        <w:t>小红书（主打）：</w:t>
      </w:r>
      <w:r>
        <w:rPr>
          <w:rFonts w:cs="Times New Roman"/>
          <w:color w:val="1A1C1E"/>
          <w:kern w:val="0"/>
        </w:rPr>
        <w:t> 聚焦</w:t>
      </w:r>
      <w:r>
        <w:rPr>
          <w:rFonts w:cs="Times New Roman"/>
          <w:b/>
          <w:bCs/>
          <w:color w:val="1A1C1E"/>
          <w:kern w:val="0"/>
        </w:rPr>
        <w:t>高颜值经济用户群</w:t>
      </w:r>
      <w:r>
        <w:rPr>
          <w:rFonts w:cs="Times New Roman"/>
          <w:color w:val="1A1C1E"/>
          <w:kern w:val="0"/>
        </w:rPr>
        <w:t>，主打</w:t>
      </w:r>
      <w:r>
        <w:rPr>
          <w:rFonts w:cs="Times New Roman"/>
          <w:b/>
          <w:bCs/>
          <w:color w:val="1A1C1E"/>
          <w:kern w:val="0"/>
        </w:rPr>
        <w:t>种草、测评</w:t>
      </w:r>
      <w:r>
        <w:rPr>
          <w:rFonts w:cs="Times New Roman"/>
          <w:color w:val="1A1C1E"/>
          <w:kern w:val="0"/>
        </w:rPr>
        <w:t>。</w:t>
      </w:r>
    </w:p>
    <w:p w14:paraId="763C1455">
      <w:pPr>
        <w:widowControl/>
        <w:shd w:val="clear" w:color="auto" w:fill="FFFFFF"/>
        <w:spacing w:after="45" w:line="300" w:lineRule="atLeast"/>
        <w:ind w:firstLine="482"/>
        <w:jc w:val="left"/>
        <w:rPr>
          <w:rFonts w:cs="Times New Roman"/>
          <w:color w:val="1A1C1E"/>
          <w:kern w:val="0"/>
        </w:rPr>
      </w:pPr>
      <w:r>
        <w:rPr>
          <w:rFonts w:cs="Times New Roman"/>
          <w:b/>
          <w:bCs/>
          <w:color w:val="1A1C1E"/>
          <w:kern w:val="0"/>
        </w:rPr>
        <w:t>抖音：</w:t>
      </w:r>
      <w:r>
        <w:rPr>
          <w:rFonts w:cs="Times New Roman"/>
          <w:color w:val="1A1C1E"/>
          <w:kern w:val="0"/>
        </w:rPr>
        <w:t> 兼顾</w:t>
      </w:r>
      <w:r>
        <w:rPr>
          <w:rFonts w:cs="Times New Roman"/>
          <w:b/>
          <w:bCs/>
          <w:color w:val="1A1C1E"/>
          <w:kern w:val="0"/>
        </w:rPr>
        <w:t>高流量曝光</w:t>
      </w:r>
      <w:r>
        <w:rPr>
          <w:rFonts w:cs="Times New Roman"/>
          <w:color w:val="1A1C1E"/>
          <w:kern w:val="0"/>
        </w:rPr>
        <w:t>，主打</w:t>
      </w:r>
      <w:r>
        <w:rPr>
          <w:rFonts w:cs="Times New Roman"/>
          <w:b/>
          <w:bCs/>
          <w:color w:val="1A1C1E"/>
          <w:kern w:val="0"/>
        </w:rPr>
        <w:t>快节奏、趣味性</w:t>
      </w:r>
      <w:r>
        <w:rPr>
          <w:rFonts w:cs="Times New Roman"/>
          <w:color w:val="1A1C1E"/>
          <w:kern w:val="0"/>
        </w:rPr>
        <w:t>的皮肤科普和 AI 功能示。</w:t>
      </w:r>
    </w:p>
    <w:p w14:paraId="7470817E">
      <w:pPr>
        <w:widowControl/>
        <w:shd w:val="clear" w:color="auto" w:fill="FFFFFF"/>
        <w:spacing w:after="45" w:line="300" w:lineRule="atLeast"/>
        <w:ind w:firstLine="482"/>
        <w:jc w:val="left"/>
        <w:rPr>
          <w:rFonts w:cs="Times New Roman"/>
          <w:color w:val="1A1C1E"/>
          <w:kern w:val="0"/>
        </w:rPr>
      </w:pPr>
      <w:r>
        <w:rPr>
          <w:rFonts w:cs="Times New Roman"/>
          <w:b/>
          <w:bCs/>
          <w:color w:val="1A1C1E"/>
          <w:kern w:val="0"/>
        </w:rPr>
        <w:t>B站：</w:t>
      </w:r>
      <w:r>
        <w:rPr>
          <w:rFonts w:cs="Times New Roman"/>
          <w:color w:val="1A1C1E"/>
          <w:kern w:val="0"/>
        </w:rPr>
        <w:t> 兼顾</w:t>
      </w:r>
      <w:r>
        <w:rPr>
          <w:rFonts w:cs="Times New Roman"/>
          <w:b/>
          <w:bCs/>
          <w:color w:val="1A1C1E"/>
          <w:kern w:val="0"/>
        </w:rPr>
        <w:t>高学习氛围用户群</w:t>
      </w:r>
      <w:r>
        <w:rPr>
          <w:rFonts w:cs="Times New Roman"/>
          <w:color w:val="1A1C1E"/>
          <w:kern w:val="0"/>
        </w:rPr>
        <w:t>，主打</w:t>
      </w:r>
      <w:r>
        <w:rPr>
          <w:rFonts w:cs="Times New Roman"/>
          <w:b/>
          <w:bCs/>
          <w:color w:val="1A1C1E"/>
          <w:kern w:val="0"/>
        </w:rPr>
        <w:t>深度、硬核</w:t>
      </w:r>
      <w:r>
        <w:rPr>
          <w:rFonts w:cs="Times New Roman"/>
          <w:color w:val="1A1C1E"/>
          <w:kern w:val="0"/>
        </w:rPr>
        <w:t>的成分解析和 AI 原理</w:t>
      </w:r>
      <w:r>
        <w:rPr>
          <w:rFonts w:hint="eastAsia" w:cs="Times New Roman"/>
          <w:color w:val="1A1C1E"/>
          <w:kern w:val="0"/>
        </w:rPr>
        <w:t>科</w:t>
      </w:r>
      <w:r>
        <w:rPr>
          <w:rFonts w:cs="Times New Roman"/>
          <w:color w:val="1A1C1E"/>
          <w:kern w:val="0"/>
        </w:rPr>
        <w:t>普。</w:t>
      </w:r>
    </w:p>
    <w:bookmarkEnd w:id="3"/>
    <w:p w14:paraId="056112DA">
      <w:pPr>
        <w:ind w:firstLine="482"/>
        <w:rPr>
          <w:rFonts w:cs="Times New Roman"/>
        </w:rPr>
      </w:pPr>
      <w:r>
        <w:rPr>
          <w:rStyle w:val="13"/>
          <w:rFonts w:cs="Times New Roman"/>
          <w:b/>
          <w:bCs/>
          <w:color w:val="1A1C1E"/>
        </w:rPr>
        <w:t>冷启动机制：</w:t>
      </w:r>
      <w:r>
        <w:rPr>
          <w:rStyle w:val="13"/>
          <w:rFonts w:cs="Times New Roman"/>
          <w:color w:val="1A1C1E"/>
        </w:rPr>
        <w:t>成立并运营官方账号，推出</w:t>
      </w:r>
      <w:r>
        <w:rPr>
          <w:rStyle w:val="13"/>
          <w:rFonts w:cs="Times New Roman"/>
          <w:b/>
          <w:bCs/>
          <w:color w:val="1A1C1E"/>
        </w:rPr>
        <w:t>“一次免费 AI 精准测肤”</w:t>
      </w:r>
      <w:r>
        <w:rPr>
          <w:rStyle w:val="13"/>
          <w:rFonts w:cs="Times New Roman"/>
          <w:color w:val="1A1C1E"/>
        </w:rPr>
        <w:t>活动。用户通过小红书的科普或种草内容下载 App，免费体验 AI 测肤的专业度。</w:t>
      </w:r>
    </w:p>
    <w:p w14:paraId="25802F17">
      <w:pPr>
        <w:ind w:firstLine="482"/>
        <w:rPr>
          <w:rFonts w:cs="Times New Roman"/>
        </w:rPr>
      </w:pPr>
      <w:r>
        <w:rPr>
          <w:rStyle w:val="13"/>
          <w:rFonts w:cs="Times New Roman"/>
          <w:b/>
          <w:bCs/>
          <w:color w:val="1A1C1E"/>
        </w:rPr>
        <w:t>转化路径：</w:t>
      </w:r>
      <w:r>
        <w:rPr>
          <w:rStyle w:val="13"/>
          <w:rFonts w:cs="Times New Roman"/>
          <w:color w:val="1A1C1E"/>
        </w:rPr>
        <w:t>AI 测肤报告制造用户痛点后，立即引导其付费购买</w:t>
      </w:r>
      <w:r>
        <w:rPr>
          <w:rStyle w:val="13"/>
          <w:rFonts w:cs="Times New Roman"/>
          <w:b/>
          <w:bCs/>
          <w:color w:val="1A1C1E"/>
        </w:rPr>
        <w:t>“医生真人问诊”</w:t>
      </w:r>
      <w:r>
        <w:rPr>
          <w:rStyle w:val="13"/>
          <w:rFonts w:cs="Times New Roman"/>
          <w:color w:val="1A1C1E"/>
        </w:rPr>
        <w:t>或</w:t>
      </w:r>
      <w:r>
        <w:rPr>
          <w:rStyle w:val="13"/>
          <w:rFonts w:cs="Times New Roman"/>
          <w:b/>
          <w:bCs/>
          <w:color w:val="1A1C1E"/>
        </w:rPr>
        <w:t>“高价值订阅服务</w:t>
      </w:r>
      <w:r>
        <w:rPr>
          <w:rStyle w:val="13"/>
          <w:rFonts w:cs="Times New Roman"/>
          <w:color w:val="1A1C1E"/>
        </w:rPr>
        <w:t>（例如 30 天追踪会员），完成 B2C 转化。</w:t>
      </w:r>
    </w:p>
    <w:bookmarkEnd w:id="2"/>
    <w:p w14:paraId="29CF3DA0">
      <w:pPr>
        <w:pStyle w:val="4"/>
        <w:ind w:firstLine="0" w:firstLineChars="0"/>
        <w:rPr>
          <w:sz w:val="28"/>
          <w:szCs w:val="28"/>
        </w:rPr>
      </w:pPr>
      <w:r>
        <w:rPr>
          <w:sz w:val="28"/>
          <w:szCs w:val="28"/>
        </w:rPr>
        <w:t>4.2.2 战略合作：与护肤/美妆品牌深度捆绑（重点合作）</w:t>
      </w:r>
    </w:p>
    <w:p w14:paraId="392A754B">
      <w:pPr>
        <w:pStyle w:val="16"/>
        <w:shd w:val="clear" w:color="auto" w:fill="FFFFFF"/>
        <w:spacing w:before="0" w:beforeAutospacing="0" w:after="45" w:afterAutospacing="0" w:line="300" w:lineRule="atLeast"/>
        <w:ind w:firstLine="420" w:firstLineChars="200"/>
        <w:rPr>
          <w:rFonts w:ascii="Times New Roman" w:hAnsi="Times New Roman" w:cs="Times New Roman"/>
          <w:color w:val="1A1C1E"/>
        </w:rPr>
      </w:pPr>
      <w:r>
        <w:rPr>
          <w:rStyle w:val="13"/>
          <w:rFonts w:ascii="Times New Roman" w:hAnsi="Times New Roman" w:cs="Times New Roman"/>
          <w:b/>
          <w:bCs/>
          <w:color w:val="1A1C1E"/>
        </w:rPr>
        <w:t>模式：</w:t>
      </w:r>
      <w:r>
        <w:rPr>
          <w:rStyle w:val="13"/>
          <w:rFonts w:ascii="Times New Roman" w:hAnsi="Times New Roman" w:cs="Times New Roman"/>
          <w:color w:val="1A1C1E"/>
        </w:rPr>
        <w:t> 在冷启动阶段，筛选有影响力、且注重</w:t>
      </w:r>
      <w:r>
        <w:rPr>
          <w:rStyle w:val="13"/>
          <w:rFonts w:ascii="Times New Roman" w:hAnsi="Times New Roman" w:cs="Times New Roman"/>
          <w:b/>
          <w:bCs/>
          <w:color w:val="1A1C1E"/>
        </w:rPr>
        <w:t>功效和成分</w:t>
      </w:r>
      <w:r>
        <w:rPr>
          <w:rStyle w:val="13"/>
          <w:rFonts w:ascii="Times New Roman" w:hAnsi="Times New Roman" w:cs="Times New Roman"/>
          <w:color w:val="1A1C1E"/>
        </w:rPr>
        <w:t>的新锐或成熟品牌进行深度捆绑合作。</w:t>
      </w:r>
    </w:p>
    <w:p w14:paraId="47F956C8">
      <w:pPr>
        <w:pStyle w:val="16"/>
        <w:shd w:val="clear" w:color="auto" w:fill="FFFFFF"/>
        <w:spacing w:before="0" w:beforeAutospacing="0" w:after="45" w:afterAutospacing="0" w:line="300" w:lineRule="atLeast"/>
        <w:ind w:firstLine="420" w:firstLineChars="200"/>
        <w:rPr>
          <w:rFonts w:ascii="Times New Roman" w:hAnsi="Times New Roman" w:cs="Times New Roman"/>
          <w:color w:val="1A1C1E"/>
        </w:rPr>
      </w:pPr>
      <w:r>
        <w:rPr>
          <w:rStyle w:val="13"/>
          <w:rFonts w:ascii="Times New Roman" w:hAnsi="Times New Roman" w:cs="Times New Roman"/>
          <w:b/>
          <w:bCs/>
          <w:color w:val="1A1C1E"/>
        </w:rPr>
        <w:t>合作内容：</w:t>
      </w:r>
    </w:p>
    <w:p w14:paraId="2030FED6">
      <w:pPr>
        <w:pStyle w:val="16"/>
        <w:shd w:val="clear" w:color="auto" w:fill="FFFFFF"/>
        <w:spacing w:before="0" w:beforeAutospacing="0" w:after="45" w:afterAutospacing="0" w:line="300" w:lineRule="atLeast"/>
        <w:ind w:firstLine="420" w:firstLineChars="200"/>
        <w:rPr>
          <w:rFonts w:ascii="Times New Roman" w:hAnsi="Times New Roman" w:cs="Times New Roman"/>
          <w:color w:val="1A1C1E"/>
        </w:rPr>
      </w:pPr>
      <w:r>
        <w:rPr>
          <w:rStyle w:val="13"/>
          <w:rFonts w:ascii="Times New Roman" w:hAnsi="Times New Roman" w:cs="Times New Roman"/>
          <w:b/>
          <w:bCs/>
          <w:color w:val="1A1C1E"/>
        </w:rPr>
        <w:t>AI 功效背书（B2B）：</w:t>
      </w:r>
      <w:r>
        <w:rPr>
          <w:rStyle w:val="13"/>
          <w:rFonts w:ascii="Times New Roman" w:hAnsi="Times New Roman" w:cs="Times New Roman"/>
          <w:color w:val="1A1C1E"/>
        </w:rPr>
        <w:t> 为合作品牌提供 </w:t>
      </w:r>
      <w:r>
        <w:rPr>
          <w:rStyle w:val="13"/>
          <w:rFonts w:ascii="Times New Roman" w:hAnsi="Times New Roman" w:cs="Times New Roman"/>
          <w:b/>
          <w:bCs/>
          <w:color w:val="1A1C1E"/>
        </w:rPr>
        <w:t>“肌智管家 AI 功效验证”</w:t>
      </w:r>
      <w:r>
        <w:rPr>
          <w:rStyle w:val="13"/>
          <w:rFonts w:ascii="Times New Roman" w:hAnsi="Times New Roman" w:cs="Times New Roman"/>
          <w:color w:val="1A1C1E"/>
        </w:rPr>
        <w:t> 报告，在产品营销中提供科学背书，共同打造专业权威性。</w:t>
      </w:r>
    </w:p>
    <w:p w14:paraId="338B865A">
      <w:pPr>
        <w:pStyle w:val="16"/>
        <w:shd w:val="clear" w:color="auto" w:fill="FFFFFF"/>
        <w:spacing w:before="0" w:beforeAutospacing="0" w:after="45" w:afterAutospacing="0" w:line="300" w:lineRule="atLeast"/>
        <w:ind w:firstLine="420" w:firstLineChars="200"/>
        <w:rPr>
          <w:rFonts w:ascii="Times New Roman" w:hAnsi="Times New Roman" w:cs="Times New Roman"/>
          <w:color w:val="1A1C1E"/>
        </w:rPr>
      </w:pPr>
      <w:r>
        <w:rPr>
          <w:rStyle w:val="13"/>
          <w:rFonts w:ascii="Times New Roman" w:hAnsi="Times New Roman" w:cs="Times New Roman"/>
          <w:b/>
          <w:bCs/>
          <w:color w:val="1A1C1E"/>
        </w:rPr>
        <w:t>联合营销（B2C）：</w:t>
      </w:r>
      <w:r>
        <w:rPr>
          <w:rStyle w:val="13"/>
          <w:rFonts w:ascii="Times New Roman" w:hAnsi="Times New Roman" w:cs="Times New Roman"/>
          <w:color w:val="1A1C1E"/>
        </w:rPr>
        <w:t> 双方共同在小红书、抖音等平台发起 </w:t>
      </w:r>
      <w:r>
        <w:rPr>
          <w:rStyle w:val="13"/>
          <w:rFonts w:ascii="Times New Roman" w:hAnsi="Times New Roman" w:cs="Times New Roman"/>
          <w:b/>
          <w:bCs/>
          <w:color w:val="1A1C1E"/>
        </w:rPr>
        <w:t>“AI 测肤+精准推荐”</w:t>
      </w:r>
      <w:r>
        <w:rPr>
          <w:rStyle w:val="13"/>
          <w:rFonts w:ascii="Times New Roman" w:hAnsi="Times New Roman" w:cs="Times New Roman"/>
          <w:color w:val="1A1C1E"/>
        </w:rPr>
        <w:t> 联合活动，品牌提供奖品（产品/优惠券），App 提供专业服务，共享获客。</w:t>
      </w:r>
    </w:p>
    <w:p w14:paraId="64BFAA64">
      <w:pPr>
        <w:pStyle w:val="4"/>
        <w:ind w:firstLine="0" w:firstLineChars="0"/>
        <w:rPr>
          <w:sz w:val="28"/>
          <w:szCs w:val="28"/>
        </w:rPr>
      </w:pPr>
      <w:r>
        <w:rPr>
          <w:sz w:val="28"/>
          <w:szCs w:val="28"/>
        </w:rPr>
        <w:t>4.2.3 平台渠道合作：打通电商导流路径（流量变现）</w:t>
      </w:r>
    </w:p>
    <w:p w14:paraId="5DAC22EB">
      <w:pPr>
        <w:pStyle w:val="16"/>
        <w:shd w:val="clear" w:color="auto" w:fill="FFFFFF"/>
        <w:spacing w:before="0" w:beforeAutospacing="0" w:after="45" w:afterAutospacing="0" w:line="300" w:lineRule="atLeast"/>
        <w:ind w:firstLine="420" w:firstLineChars="200"/>
        <w:rPr>
          <w:rFonts w:ascii="Times New Roman" w:hAnsi="Times New Roman" w:cs="Times New Roman"/>
          <w:color w:val="1A1C1E"/>
        </w:rPr>
      </w:pPr>
      <w:r>
        <w:rPr>
          <w:rStyle w:val="13"/>
          <w:rFonts w:ascii="Times New Roman" w:hAnsi="Times New Roman" w:cs="Times New Roman"/>
          <w:b/>
          <w:bCs/>
          <w:color w:val="1A1C1E"/>
        </w:rPr>
        <w:t>模式：</w:t>
      </w:r>
      <w:r>
        <w:rPr>
          <w:rStyle w:val="13"/>
          <w:rFonts w:ascii="Times New Roman" w:hAnsi="Times New Roman" w:cs="Times New Roman"/>
          <w:color w:val="1A1C1E"/>
        </w:rPr>
        <w:t> 利用 AI 测肤报告的高度精准性，与主流</w:t>
      </w:r>
      <w:r>
        <w:rPr>
          <w:rStyle w:val="13"/>
          <w:rFonts w:ascii="Times New Roman" w:hAnsi="Times New Roman" w:cs="Times New Roman"/>
          <w:b/>
          <w:bCs/>
          <w:color w:val="1A1C1E"/>
        </w:rPr>
        <w:t>电商平台（如淘宝/天猫美妆）或垂直美妆电商</w:t>
      </w:r>
      <w:r>
        <w:rPr>
          <w:rStyle w:val="13"/>
          <w:rFonts w:ascii="Times New Roman" w:hAnsi="Times New Roman" w:cs="Times New Roman"/>
          <w:color w:val="1A1C1E"/>
        </w:rPr>
        <w:t>建立合作。</w:t>
      </w:r>
    </w:p>
    <w:p w14:paraId="783174FB">
      <w:pPr>
        <w:pStyle w:val="16"/>
        <w:shd w:val="clear" w:color="auto" w:fill="FFFFFF"/>
        <w:spacing w:before="0" w:beforeAutospacing="0" w:after="45" w:afterAutospacing="0" w:line="300" w:lineRule="atLeast"/>
        <w:ind w:firstLine="420" w:firstLineChars="200"/>
        <w:rPr>
          <w:rFonts w:ascii="Times New Roman" w:hAnsi="Times New Roman" w:cs="Times New Roman"/>
          <w:color w:val="1A1C1E"/>
        </w:rPr>
      </w:pPr>
      <w:r>
        <w:rPr>
          <w:rStyle w:val="13"/>
          <w:rFonts w:ascii="Times New Roman" w:hAnsi="Times New Roman" w:cs="Times New Roman"/>
          <w:b/>
          <w:bCs/>
          <w:color w:val="1A1C1E"/>
        </w:rPr>
        <w:t>合作内容：</w:t>
      </w:r>
    </w:p>
    <w:p w14:paraId="1CF8C32C">
      <w:pPr>
        <w:pStyle w:val="16"/>
        <w:shd w:val="clear" w:color="auto" w:fill="FFFFFF"/>
        <w:spacing w:before="0" w:beforeAutospacing="0" w:after="45" w:afterAutospacing="0" w:line="300" w:lineRule="atLeast"/>
        <w:ind w:firstLine="420" w:firstLineChars="200"/>
        <w:rPr>
          <w:rFonts w:ascii="Times New Roman" w:hAnsi="Times New Roman" w:cs="Times New Roman"/>
          <w:color w:val="1A1C1E"/>
        </w:rPr>
      </w:pPr>
      <w:r>
        <w:rPr>
          <w:rStyle w:val="13"/>
          <w:rFonts w:ascii="Times New Roman" w:hAnsi="Times New Roman" w:cs="Times New Roman"/>
          <w:b/>
          <w:bCs/>
          <w:color w:val="1A1C1E"/>
        </w:rPr>
        <w:t>精准推荐：</w:t>
      </w:r>
      <w:r>
        <w:rPr>
          <w:rStyle w:val="13"/>
          <w:rFonts w:ascii="Times New Roman" w:hAnsi="Times New Roman" w:cs="Times New Roman"/>
          <w:color w:val="1A1C1E"/>
        </w:rPr>
        <w:t> 用户完成 AI 测肤并生成个性化方案后，平台提供与方案相符的</w:t>
      </w:r>
      <w:r>
        <w:rPr>
          <w:rStyle w:val="13"/>
          <w:rFonts w:ascii="Times New Roman" w:hAnsi="Times New Roman" w:cs="Times New Roman"/>
          <w:b/>
          <w:bCs/>
          <w:color w:val="1A1C1E"/>
        </w:rPr>
        <w:t>精准产品推荐，并一键跳转至合作电商平台的链接</w:t>
      </w:r>
      <w:r>
        <w:rPr>
          <w:rStyle w:val="13"/>
          <w:rFonts w:ascii="Times New Roman" w:hAnsi="Times New Roman" w:cs="Times New Roman"/>
          <w:color w:val="1A1C1E"/>
        </w:rPr>
        <w:t>。</w:t>
      </w:r>
    </w:p>
    <w:p w14:paraId="2D778199">
      <w:pPr>
        <w:pStyle w:val="16"/>
        <w:shd w:val="clear" w:color="auto" w:fill="FFFFFF"/>
        <w:spacing w:before="0" w:beforeAutospacing="0" w:after="45" w:afterAutospacing="0" w:line="300" w:lineRule="atLeast"/>
        <w:ind w:firstLine="420" w:firstLineChars="200"/>
        <w:rPr>
          <w:rFonts w:ascii="Times New Roman" w:hAnsi="Times New Roman" w:cs="Times New Roman"/>
          <w:color w:val="1A1C1E"/>
        </w:rPr>
      </w:pPr>
      <w:r>
        <w:rPr>
          <w:rStyle w:val="13"/>
          <w:rFonts w:ascii="Times New Roman" w:hAnsi="Times New Roman" w:cs="Times New Roman"/>
          <w:b/>
          <w:bCs/>
          <w:color w:val="1A1C1E"/>
        </w:rPr>
        <w:t>数据沉淀：</w:t>
      </w:r>
      <w:r>
        <w:rPr>
          <w:rStyle w:val="13"/>
          <w:rFonts w:ascii="Times New Roman" w:hAnsi="Times New Roman" w:cs="Times New Roman"/>
          <w:color w:val="1A1C1E"/>
        </w:rPr>
        <w:t> 通过初期合作，验证 AI 测肤带来的</w:t>
      </w:r>
      <w:r>
        <w:rPr>
          <w:rStyle w:val="13"/>
          <w:rFonts w:ascii="Times New Roman" w:hAnsi="Times New Roman" w:cs="Times New Roman"/>
          <w:b/>
          <w:bCs/>
          <w:color w:val="1A1C1E"/>
        </w:rPr>
        <w:t>高转化率</w:t>
      </w:r>
      <w:r>
        <w:rPr>
          <w:rStyle w:val="13"/>
          <w:rFonts w:ascii="Times New Roman" w:hAnsi="Times New Roman" w:cs="Times New Roman"/>
          <w:color w:val="1A1C1E"/>
        </w:rPr>
        <w:t>，为未来在电商平台争取更高的导流佣金奠定数据基础。</w:t>
      </w:r>
    </w:p>
    <w:p w14:paraId="57E81F8D">
      <w:pPr>
        <w:pStyle w:val="4"/>
        <w:ind w:firstLine="482"/>
        <w:rPr>
          <w:rFonts w:cs="Times New Roman"/>
          <w:szCs w:val="24"/>
        </w:rPr>
      </w:pPr>
      <w:r>
        <w:rPr>
          <w:rStyle w:val="13"/>
          <w:rFonts w:cs="Times New Roman"/>
          <w:color w:val="1A1C1E"/>
          <w:szCs w:val="24"/>
        </w:rPr>
        <w:t>4.2.4 专业渠道：与美容院/皮肤管理中心合作（权威背书）</w:t>
      </w:r>
    </w:p>
    <w:p w14:paraId="02E47256">
      <w:pPr>
        <w:pStyle w:val="16"/>
        <w:shd w:val="clear" w:color="auto" w:fill="FFFFFF"/>
        <w:spacing w:before="0" w:beforeAutospacing="0" w:after="45" w:afterAutospacing="0" w:line="300" w:lineRule="atLeast"/>
        <w:ind w:firstLine="420" w:firstLineChars="200"/>
        <w:rPr>
          <w:rFonts w:ascii="Times New Roman" w:hAnsi="Times New Roman" w:cs="Times New Roman"/>
          <w:color w:val="1A1C1E"/>
        </w:rPr>
      </w:pPr>
      <w:r>
        <w:rPr>
          <w:rStyle w:val="13"/>
          <w:rFonts w:ascii="Times New Roman" w:hAnsi="Times New Roman" w:cs="Times New Roman"/>
          <w:b/>
          <w:bCs/>
          <w:color w:val="1A1C1E"/>
        </w:rPr>
        <w:t>模式：</w:t>
      </w:r>
      <w:r>
        <w:rPr>
          <w:rStyle w:val="13"/>
          <w:rFonts w:ascii="Times New Roman" w:hAnsi="Times New Roman" w:cs="Times New Roman"/>
          <w:color w:val="1A1C1E"/>
        </w:rPr>
        <w:t> 提供专业版 App 或 SaaS 接口，将 AI 测肤与数据追踪赋能给线下机构。</w:t>
      </w:r>
    </w:p>
    <w:p w14:paraId="00FC7C05">
      <w:pPr>
        <w:pStyle w:val="16"/>
        <w:shd w:val="clear" w:color="auto" w:fill="FFFFFF"/>
        <w:spacing w:before="0" w:beforeAutospacing="0" w:after="45" w:afterAutospacing="0" w:line="300" w:lineRule="atLeast"/>
        <w:ind w:firstLine="420" w:firstLineChars="200"/>
        <w:rPr>
          <w:rStyle w:val="13"/>
          <w:rFonts w:ascii="Times New Roman" w:hAnsi="Times New Roman" w:cs="Times New Roman"/>
          <w:color w:val="1A1C1E"/>
        </w:rPr>
      </w:pPr>
      <w:r>
        <w:rPr>
          <w:rStyle w:val="13"/>
          <w:rFonts w:ascii="Times New Roman" w:hAnsi="Times New Roman" w:cs="Times New Roman"/>
          <w:b/>
          <w:bCs/>
          <w:color w:val="1A1C1E"/>
        </w:rPr>
        <w:t>价值：</w:t>
      </w:r>
      <w:r>
        <w:rPr>
          <w:rStyle w:val="13"/>
          <w:rFonts w:ascii="Times New Roman" w:hAnsi="Times New Roman" w:cs="Times New Roman"/>
          <w:color w:val="1A1C1E"/>
        </w:rPr>
        <w:t> 快速获得优质的</w:t>
      </w:r>
      <w:r>
        <w:rPr>
          <w:rStyle w:val="13"/>
          <w:rFonts w:ascii="Times New Roman" w:hAnsi="Times New Roman" w:cs="Times New Roman"/>
          <w:b/>
          <w:bCs/>
          <w:color w:val="1A1C1E"/>
        </w:rPr>
        <w:t>种子用户</w:t>
      </w:r>
      <w:r>
        <w:rPr>
          <w:rStyle w:val="13"/>
          <w:rFonts w:ascii="Times New Roman" w:hAnsi="Times New Roman" w:cs="Times New Roman"/>
          <w:color w:val="1A1C1E"/>
        </w:rPr>
        <w:t>，并通过线下机构的</w:t>
      </w:r>
      <w:r>
        <w:rPr>
          <w:rStyle w:val="13"/>
          <w:rFonts w:ascii="Times New Roman" w:hAnsi="Times New Roman" w:cs="Times New Roman"/>
          <w:b/>
          <w:bCs/>
          <w:color w:val="1A1C1E"/>
        </w:rPr>
        <w:t>专业服务</w:t>
      </w:r>
      <w:r>
        <w:rPr>
          <w:rStyle w:val="13"/>
          <w:rFonts w:ascii="Times New Roman" w:hAnsi="Times New Roman" w:cs="Times New Roman"/>
          <w:color w:val="1A1C1E"/>
        </w:rPr>
        <w:t>进一步强化 App 的权威性和用户信任。</w:t>
      </w:r>
    </w:p>
    <w:p w14:paraId="021A05FD">
      <w:pPr>
        <w:pStyle w:val="3"/>
        <w:ind w:firstLine="0" w:firstLineChars="0"/>
      </w:pPr>
      <w:r>
        <w:t>4.3 内容营销：打造专业 IP 与社区</w:t>
      </w:r>
    </w:p>
    <w:p w14:paraId="1F6DD001">
      <w:pPr>
        <w:pStyle w:val="4"/>
        <w:ind w:firstLine="0" w:firstLineChars="0"/>
        <w:rPr>
          <w:sz w:val="28"/>
          <w:szCs w:val="28"/>
        </w:rPr>
      </w:pPr>
      <w:r>
        <w:rPr>
          <w:sz w:val="28"/>
          <w:szCs w:val="28"/>
        </w:rPr>
        <w:t>4.3.1 内容营销：打造专业 IP</w:t>
      </w:r>
    </w:p>
    <w:p w14:paraId="0C845569">
      <w:pPr>
        <w:pStyle w:val="16"/>
        <w:shd w:val="clear" w:color="auto" w:fill="FFFFFF"/>
        <w:spacing w:before="0" w:beforeAutospacing="0" w:after="45" w:afterAutospacing="0" w:line="300" w:lineRule="atLeast"/>
        <w:ind w:firstLine="420" w:firstLineChars="200"/>
        <w:rPr>
          <w:rFonts w:ascii="Times New Roman" w:hAnsi="Times New Roman" w:cs="Times New Roman"/>
          <w:color w:val="1A1C1E"/>
        </w:rPr>
      </w:pPr>
      <w:r>
        <w:rPr>
          <w:rStyle w:val="13"/>
          <w:rFonts w:ascii="Times New Roman" w:hAnsi="Times New Roman" w:cs="Times New Roman"/>
          <w:b/>
          <w:bCs/>
          <w:color w:val="1A1C1E"/>
        </w:rPr>
        <w:t>内容定位：</w:t>
      </w:r>
      <w:r>
        <w:rPr>
          <w:rStyle w:val="13"/>
          <w:rFonts w:ascii="Times New Roman" w:hAnsi="Times New Roman" w:cs="Times New Roman"/>
          <w:color w:val="1A1C1E"/>
        </w:rPr>
        <w:t> 聚焦“AI 科学护肤”</w:t>
      </w:r>
      <w:r>
        <w:rPr>
          <w:rStyle w:val="13"/>
          <w:rFonts w:ascii="Times New Roman" w:hAnsi="Times New Roman" w:cs="Times New Roman"/>
          <w:b/>
          <w:bCs/>
          <w:color w:val="1A1C1E"/>
        </w:rPr>
        <w:t>和</w:t>
      </w:r>
      <w:r>
        <w:rPr>
          <w:rStyle w:val="13"/>
          <w:rFonts w:ascii="Times New Roman" w:hAnsi="Times New Roman" w:cs="Times New Roman"/>
          <w:color w:val="1A1C1E"/>
        </w:rPr>
        <w:t>“医生问诊案例解析”</w:t>
      </w:r>
      <w:r>
        <w:rPr>
          <w:rStyle w:val="13"/>
          <w:rFonts w:ascii="Times New Roman" w:hAnsi="Times New Roman" w:cs="Times New Roman"/>
          <w:b/>
          <w:bCs/>
          <w:color w:val="1A1C1E"/>
        </w:rPr>
        <w:t>两大主题，内容产出具有</w:t>
      </w:r>
      <w:r>
        <w:rPr>
          <w:rStyle w:val="13"/>
          <w:rFonts w:ascii="Times New Roman" w:hAnsi="Times New Roman" w:cs="Times New Roman"/>
          <w:color w:val="1A1C1E"/>
        </w:rPr>
        <w:t>专业度、可读性和实用性。</w:t>
      </w:r>
    </w:p>
    <w:p w14:paraId="071C8D98">
      <w:pPr>
        <w:pStyle w:val="16"/>
        <w:shd w:val="clear" w:color="auto" w:fill="FFFFFF"/>
        <w:spacing w:before="0" w:beforeAutospacing="0" w:after="45" w:afterAutospacing="0" w:line="300" w:lineRule="atLeast"/>
        <w:ind w:firstLine="420" w:firstLineChars="200"/>
        <w:rPr>
          <w:rFonts w:ascii="Times New Roman" w:hAnsi="Times New Roman" w:cs="Times New Roman"/>
          <w:color w:val="1A1C1E"/>
        </w:rPr>
      </w:pPr>
      <w:r>
        <w:rPr>
          <w:rStyle w:val="13"/>
          <w:rFonts w:ascii="Times New Roman" w:hAnsi="Times New Roman" w:cs="Times New Roman"/>
          <w:b/>
          <w:bCs/>
          <w:color w:val="1A1C1E"/>
        </w:rPr>
        <w:t>渠道：</w:t>
      </w:r>
      <w:r>
        <w:rPr>
          <w:rStyle w:val="13"/>
          <w:rFonts w:ascii="Times New Roman" w:hAnsi="Times New Roman" w:cs="Times New Roman"/>
          <w:color w:val="1A1C1E"/>
        </w:rPr>
        <w:t> 在小红书、抖音、B 站建立官方账号，持续输出高质量护肤科普短视频和图文。</w:t>
      </w:r>
    </w:p>
    <w:p w14:paraId="0909AAF6">
      <w:pPr>
        <w:pStyle w:val="4"/>
        <w:ind w:firstLine="0" w:firstLineChars="0"/>
        <w:rPr>
          <w:sz w:val="28"/>
          <w:szCs w:val="28"/>
        </w:rPr>
      </w:pPr>
      <w:r>
        <w:rPr>
          <w:sz w:val="28"/>
          <w:szCs w:val="28"/>
        </w:rPr>
        <w:t>4.3.2 口碑营销：KOL/KOC 矩阵</w:t>
      </w:r>
    </w:p>
    <w:p w14:paraId="03DA544F">
      <w:pPr>
        <w:pStyle w:val="16"/>
        <w:shd w:val="clear" w:color="auto" w:fill="FFFFFF"/>
        <w:spacing w:before="0" w:beforeAutospacing="0" w:after="45" w:afterAutospacing="0" w:line="300" w:lineRule="atLeast"/>
        <w:ind w:firstLine="420" w:firstLineChars="200"/>
        <w:rPr>
          <w:rFonts w:ascii="Times New Roman" w:hAnsi="Times New Roman" w:cs="Times New Roman"/>
          <w:color w:val="1A1C1E"/>
        </w:rPr>
      </w:pPr>
      <w:r>
        <w:rPr>
          <w:rStyle w:val="13"/>
          <w:rFonts w:ascii="Times New Roman" w:hAnsi="Times New Roman" w:cs="Times New Roman"/>
          <w:b/>
          <w:bCs/>
          <w:color w:val="1A1C1E"/>
        </w:rPr>
        <w:t>策略：</w:t>
      </w:r>
      <w:r>
        <w:rPr>
          <w:rStyle w:val="13"/>
          <w:rFonts w:ascii="Times New Roman" w:hAnsi="Times New Roman" w:cs="Times New Roman"/>
          <w:color w:val="1A1C1E"/>
        </w:rPr>
        <w:t> 与皮肤科医生、专业护肤达人（KOL）以及具有皮肤问题解决经验的用户（KOC）合作。</w:t>
      </w:r>
    </w:p>
    <w:p w14:paraId="2C924CA6">
      <w:pPr>
        <w:pStyle w:val="16"/>
        <w:shd w:val="clear" w:color="auto" w:fill="FFFFFF"/>
        <w:spacing w:before="0" w:beforeAutospacing="0" w:after="45" w:afterAutospacing="0" w:line="300" w:lineRule="atLeast"/>
        <w:ind w:firstLine="420" w:firstLineChars="200"/>
        <w:rPr>
          <w:rFonts w:ascii="Times New Roman" w:hAnsi="Times New Roman" w:cs="Times New Roman"/>
          <w:color w:val="1A1C1E"/>
        </w:rPr>
      </w:pPr>
      <w:r>
        <w:rPr>
          <w:rStyle w:val="13"/>
          <w:rFonts w:ascii="Times New Roman" w:hAnsi="Times New Roman" w:cs="Times New Roman"/>
          <w:b/>
          <w:bCs/>
          <w:color w:val="1A1C1E"/>
        </w:rPr>
        <w:t>内容合作：</w:t>
      </w:r>
      <w:r>
        <w:rPr>
          <w:rStyle w:val="13"/>
          <w:rFonts w:ascii="Times New Roman" w:hAnsi="Times New Roman" w:cs="Times New Roman"/>
          <w:color w:val="1A1C1E"/>
        </w:rPr>
        <w:t> 邀请其测评 </w:t>
      </w:r>
      <w:r>
        <w:rPr>
          <w:rStyle w:val="13"/>
          <w:rFonts w:ascii="Times New Roman" w:hAnsi="Times New Roman" w:cs="Times New Roman"/>
          <w:b/>
          <w:bCs/>
          <w:color w:val="1A1C1E"/>
        </w:rPr>
        <w:t>AI 测肤的精准度</w:t>
      </w:r>
      <w:r>
        <w:rPr>
          <w:rStyle w:val="13"/>
          <w:rFonts w:ascii="Times New Roman" w:hAnsi="Times New Roman" w:cs="Times New Roman"/>
          <w:color w:val="1A1C1E"/>
        </w:rPr>
        <w:t>和 </w:t>
      </w:r>
      <w:r>
        <w:rPr>
          <w:rStyle w:val="13"/>
          <w:rFonts w:ascii="Times New Roman" w:hAnsi="Times New Roman" w:cs="Times New Roman"/>
          <w:b/>
          <w:bCs/>
          <w:color w:val="1A1C1E"/>
        </w:rPr>
        <w:t>在线问诊的专业性</w:t>
      </w:r>
      <w:r>
        <w:rPr>
          <w:rStyle w:val="13"/>
          <w:rFonts w:ascii="Times New Roman" w:hAnsi="Times New Roman" w:cs="Times New Roman"/>
          <w:color w:val="1A1C1E"/>
        </w:rPr>
        <w:t>，以真实的对比和案例来打造口碑。</w:t>
      </w:r>
    </w:p>
    <w:p w14:paraId="1004BA3F">
      <w:pPr>
        <w:pStyle w:val="4"/>
        <w:ind w:firstLine="0" w:firstLineChars="0"/>
        <w:rPr>
          <w:sz w:val="28"/>
          <w:szCs w:val="28"/>
        </w:rPr>
      </w:pPr>
      <w:r>
        <w:rPr>
          <w:sz w:val="28"/>
          <w:szCs w:val="28"/>
        </w:rPr>
        <w:t>4.3.3 社区运营：提升用户粘性与自发裂变</w:t>
      </w:r>
    </w:p>
    <w:p w14:paraId="56551A13">
      <w:pPr>
        <w:pStyle w:val="16"/>
        <w:shd w:val="clear" w:color="auto" w:fill="FFFFFF"/>
        <w:spacing w:before="0" w:beforeAutospacing="0" w:after="45" w:afterAutospacing="0" w:line="300" w:lineRule="atLeast"/>
        <w:ind w:firstLine="420" w:firstLineChars="200"/>
        <w:rPr>
          <w:rFonts w:ascii="Times New Roman" w:hAnsi="Times New Roman" w:cs="Times New Roman"/>
          <w:color w:val="1A1C1E"/>
        </w:rPr>
      </w:pPr>
      <w:r>
        <w:rPr>
          <w:rStyle w:val="13"/>
          <w:rFonts w:ascii="Times New Roman" w:hAnsi="Times New Roman" w:cs="Times New Roman"/>
          <w:b/>
          <w:bCs/>
          <w:color w:val="1A1C1E"/>
        </w:rPr>
        <w:t>激励机制：</w:t>
      </w:r>
      <w:r>
        <w:rPr>
          <w:rStyle w:val="13"/>
          <w:rFonts w:ascii="Times New Roman" w:hAnsi="Times New Roman" w:cs="Times New Roman"/>
          <w:color w:val="1A1C1E"/>
        </w:rPr>
        <w:t> 推出 </w:t>
      </w:r>
      <w:r>
        <w:rPr>
          <w:rStyle w:val="13"/>
          <w:rFonts w:ascii="Times New Roman" w:hAnsi="Times New Roman" w:cs="Times New Roman"/>
          <w:b/>
          <w:bCs/>
          <w:color w:val="1A1C1E"/>
        </w:rPr>
        <w:t>“30天皮肤改善挑战”</w:t>
      </w:r>
      <w:r>
        <w:rPr>
          <w:rStyle w:val="13"/>
          <w:rFonts w:ascii="Times New Roman" w:hAnsi="Times New Roman" w:cs="Times New Roman"/>
          <w:color w:val="1A1C1E"/>
        </w:rPr>
        <w:t>，激励用户每日打卡、记录皮肤变化，并分享 AI 报告和护肤心得。</w:t>
      </w:r>
    </w:p>
    <w:p w14:paraId="2E00134D">
      <w:pPr>
        <w:pStyle w:val="16"/>
        <w:shd w:val="clear" w:color="auto" w:fill="FFFFFF"/>
        <w:spacing w:before="0" w:beforeAutospacing="0" w:after="45" w:afterAutospacing="0" w:line="300" w:lineRule="atLeast"/>
        <w:ind w:firstLine="420" w:firstLineChars="200"/>
        <w:rPr>
          <w:rFonts w:ascii="Times New Roman" w:hAnsi="Times New Roman" w:cs="Times New Roman"/>
          <w:color w:val="1A1C1E"/>
          <w:shd w:val="clear" w:color="auto" w:fill="FFFFFF"/>
        </w:rPr>
      </w:pPr>
      <w:bookmarkStart w:id="4" w:name="OLE_LINK4"/>
      <w:r>
        <w:rPr>
          <w:rStyle w:val="13"/>
          <w:rFonts w:ascii="Times New Roman" w:hAnsi="Times New Roman" w:cs="Times New Roman"/>
          <w:b/>
          <w:bCs/>
          <w:color w:val="1A1C1E"/>
        </w:rPr>
        <w:t>氛围营造：</w:t>
      </w:r>
      <w:r>
        <w:rPr>
          <w:rStyle w:val="13"/>
          <w:rFonts w:ascii="Times New Roman" w:hAnsi="Times New Roman" w:cs="Times New Roman"/>
          <w:color w:val="1A1C1E"/>
        </w:rPr>
        <w:t> 营造专业的、友好的、鼓励分享的社区氛围，将用户从工具使用者转变为社区成员。</w:t>
      </w:r>
      <w:r>
        <w:rPr>
          <w:rFonts w:ascii="Times New Roman" w:hAnsi="Times New Roman" w:cs="Times New Roman"/>
          <w:color w:val="1A1C1E"/>
          <w:shd w:val="clear" w:color="auto" w:fill="FFFFFF"/>
        </w:rPr>
        <w:t>核心讨论内容包括：</w:t>
      </w:r>
    </w:p>
    <w:p w14:paraId="60F30E0A">
      <w:pPr>
        <w:widowControl/>
        <w:shd w:val="clear" w:color="auto" w:fill="FFFFFF"/>
        <w:spacing w:after="45" w:line="300" w:lineRule="atLeast"/>
        <w:ind w:firstLine="482"/>
        <w:jc w:val="left"/>
        <w:rPr>
          <w:rFonts w:cs="Times New Roman"/>
          <w:color w:val="1A1C1E"/>
          <w:kern w:val="0"/>
        </w:rPr>
      </w:pPr>
      <w:r>
        <w:rPr>
          <w:rFonts w:cs="Times New Roman"/>
          <w:b/>
          <w:bCs/>
          <w:color w:val="1A1C1E"/>
          <w:kern w:val="0"/>
        </w:rPr>
        <w:t>1、成果展示：</w:t>
      </w:r>
      <w:r>
        <w:rPr>
          <w:rFonts w:cs="Times New Roman"/>
          <w:color w:val="1A1C1E"/>
          <w:kern w:val="0"/>
        </w:rPr>
        <w:t> 用户分享使用 App 后皮肤改善的</w:t>
      </w:r>
      <w:r>
        <w:rPr>
          <w:rFonts w:cs="Times New Roman"/>
          <w:b/>
          <w:bCs/>
          <w:color w:val="1A1C1E"/>
          <w:kern w:val="0"/>
        </w:rPr>
        <w:t>前后对比图</w:t>
      </w:r>
      <w:r>
        <w:rPr>
          <w:rFonts w:cs="Times New Roman"/>
          <w:color w:val="1A1C1E"/>
          <w:kern w:val="0"/>
        </w:rPr>
        <w:t>、满意的</w:t>
      </w:r>
      <w:r>
        <w:rPr>
          <w:rFonts w:cs="Times New Roman"/>
          <w:b/>
          <w:bCs/>
          <w:color w:val="1A1C1E"/>
          <w:kern w:val="0"/>
        </w:rPr>
        <w:t>护肤成果</w:t>
      </w:r>
      <w:r>
        <w:rPr>
          <w:rFonts w:cs="Times New Roman"/>
          <w:color w:val="1A1C1E"/>
          <w:kern w:val="0"/>
        </w:rPr>
        <w:t>或</w:t>
      </w:r>
      <w:r>
        <w:rPr>
          <w:rFonts w:cs="Times New Roman"/>
          <w:b/>
          <w:bCs/>
          <w:color w:val="1A1C1E"/>
          <w:kern w:val="0"/>
        </w:rPr>
        <w:t>妆容效果</w:t>
      </w:r>
      <w:r>
        <w:rPr>
          <w:rFonts w:cs="Times New Roman"/>
          <w:color w:val="1A1C1E"/>
          <w:kern w:val="0"/>
        </w:rPr>
        <w:t>。</w:t>
      </w:r>
    </w:p>
    <w:p w14:paraId="15AEBC73">
      <w:pPr>
        <w:widowControl/>
        <w:shd w:val="clear" w:color="auto" w:fill="FFFFFF"/>
        <w:spacing w:after="45" w:line="300" w:lineRule="atLeast"/>
        <w:ind w:firstLine="482"/>
        <w:jc w:val="left"/>
        <w:rPr>
          <w:rFonts w:cs="Times New Roman"/>
          <w:color w:val="1A1C1E"/>
          <w:kern w:val="0"/>
        </w:rPr>
      </w:pPr>
      <w:r>
        <w:rPr>
          <w:rFonts w:cs="Times New Roman"/>
          <w:b/>
          <w:bCs/>
          <w:color w:val="1A1C1E"/>
          <w:kern w:val="0"/>
        </w:rPr>
        <w:t>2、经验交流：</w:t>
      </w:r>
      <w:r>
        <w:rPr>
          <w:rFonts w:cs="Times New Roman"/>
          <w:color w:val="1A1C1E"/>
          <w:kern w:val="0"/>
        </w:rPr>
        <w:t> 用户基于 AI 诊断结果或医生建议，交流</w:t>
      </w:r>
      <w:r>
        <w:rPr>
          <w:rFonts w:cs="Times New Roman"/>
          <w:b/>
          <w:bCs/>
          <w:color w:val="1A1C1E"/>
          <w:kern w:val="0"/>
        </w:rPr>
        <w:t>产品使用心得</w:t>
      </w:r>
      <w:r>
        <w:rPr>
          <w:rFonts w:cs="Times New Roman"/>
          <w:color w:val="1A1C1E"/>
          <w:kern w:val="0"/>
        </w:rPr>
        <w:t>、</w:t>
      </w:r>
      <w:r>
        <w:rPr>
          <w:rFonts w:cs="Times New Roman"/>
          <w:b/>
          <w:bCs/>
          <w:color w:val="1A1C1E"/>
          <w:kern w:val="0"/>
        </w:rPr>
        <w:t>不同成分的搭配经验</w:t>
      </w:r>
      <w:r>
        <w:rPr>
          <w:rFonts w:cs="Times New Roman"/>
          <w:color w:val="1A1C1E"/>
          <w:kern w:val="0"/>
        </w:rPr>
        <w:t>，以及</w:t>
      </w:r>
      <w:r>
        <w:rPr>
          <w:rFonts w:cs="Times New Roman"/>
          <w:b/>
          <w:bCs/>
          <w:color w:val="1A1C1E"/>
          <w:kern w:val="0"/>
        </w:rPr>
        <w:t>生活习惯的调整经验</w:t>
      </w:r>
      <w:r>
        <w:rPr>
          <w:rFonts w:cs="Times New Roman"/>
          <w:color w:val="1A1C1E"/>
          <w:kern w:val="0"/>
        </w:rPr>
        <w:t>。</w:t>
      </w:r>
    </w:p>
    <w:p w14:paraId="0B6CC4AC">
      <w:pPr>
        <w:widowControl/>
        <w:shd w:val="clear" w:color="auto" w:fill="FFFFFF"/>
        <w:spacing w:after="45" w:line="300" w:lineRule="atLeast"/>
        <w:ind w:firstLine="482"/>
        <w:jc w:val="left"/>
        <w:rPr>
          <w:rFonts w:cs="Times New Roman"/>
          <w:color w:val="1A1C1E"/>
          <w:kern w:val="0"/>
        </w:rPr>
      </w:pPr>
      <w:r>
        <w:rPr>
          <w:rFonts w:cs="Times New Roman"/>
          <w:b/>
          <w:bCs/>
          <w:color w:val="1A1C1E"/>
          <w:kern w:val="0"/>
        </w:rPr>
        <w:t>裂变机制：</w:t>
      </w:r>
      <w:r>
        <w:rPr>
          <w:rFonts w:cs="Times New Roman"/>
          <w:color w:val="1A1C1E"/>
          <w:kern w:val="0"/>
        </w:rPr>
        <w:t> 设置奖励（如问诊优惠券、定制礼品）鼓励用户分享其“肌肤变化”卡片到社交媒体，形成</w:t>
      </w:r>
      <w:r>
        <w:rPr>
          <w:rFonts w:cs="Times New Roman"/>
          <w:b/>
          <w:bCs/>
          <w:color w:val="1A1C1E"/>
          <w:kern w:val="0"/>
        </w:rPr>
        <w:t>基于科学效果</w:t>
      </w:r>
      <w:r>
        <w:rPr>
          <w:rFonts w:cs="Times New Roman"/>
          <w:color w:val="1A1C1E"/>
          <w:kern w:val="0"/>
        </w:rPr>
        <w:t>的自发裂变。</w:t>
      </w:r>
    </w:p>
    <w:p w14:paraId="30A5CF47">
      <w:pPr>
        <w:rPr>
          <w:rFonts w:cs="Times New Roman"/>
          <w:color w:val="1A1C1E"/>
          <w:kern w:val="0"/>
        </w:rPr>
      </w:pPr>
      <w:r>
        <w:rPr>
          <w:rFonts w:cs="Times New Roman"/>
          <w:color w:val="1A1C1E"/>
          <w:kern w:val="0"/>
        </w:rPr>
        <w:br w:type="page"/>
      </w:r>
    </w:p>
    <w:bookmarkEnd w:id="4"/>
    <w:p w14:paraId="189E0B76">
      <w:pPr>
        <w:jc w:val="center"/>
        <w:rPr>
          <w:rFonts w:hint="eastAsia" w:eastAsia="黑体" w:cs="Times New Roman (标题 CS)" w:asciiTheme="minorHAnsi" w:hAnsiTheme="minorHAnsi"/>
          <w:b/>
          <w:bCs/>
          <w:kern w:val="2"/>
          <w:sz w:val="30"/>
          <w:szCs w:val="32"/>
          <w:lang w:val="en-US" w:eastAsia="zh-CN" w:bidi="ar-SA"/>
        </w:rPr>
      </w:pPr>
      <w:r>
        <w:rPr>
          <w:rFonts w:hint="eastAsia" w:eastAsia="黑体" w:cs="Times New Roman (标题 CS)" w:asciiTheme="minorHAnsi" w:hAnsiTheme="minorHAnsi"/>
          <w:b/>
          <w:bCs/>
          <w:kern w:val="2"/>
          <w:sz w:val="32"/>
          <w:szCs w:val="32"/>
          <w:lang w:val="en-US" w:eastAsia="zh-CN" w:bidi="ar-SA"/>
        </w:rPr>
        <w:t>5.0 商业模式</w:t>
      </w:r>
    </w:p>
    <w:p w14:paraId="741217FB">
      <w:pPr>
        <w:ind w:firstLine="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肌智管家的商业模式以多元化收入为核心，通过整合 B2C 和 B2B 两种渠道实现可持续盈利。平台围绕用户数据和服务闭环，将 AI 测肤、在线问诊、电商导购等功能衔接为完整生态，从用户付费和企业合作两个层面获取收入。这样的多维变现结构使收入来源更健康、更具想象空间，避免对单一渠道的依赖，并确保在提供高价值用户体验的同时实现商业价值最大化。此外，为保持用户信任度，平台不依赖传统广告收益，而是通过专业服务和数据价值变现。</w:t>
      </w:r>
    </w:p>
    <w:p w14:paraId="3A867F8E">
      <w:pPr>
        <w:rPr>
          <w:rFonts w:hint="eastAsia"/>
          <w:sz w:val="21"/>
          <w:szCs w:val="21"/>
        </w:rPr>
      </w:pPr>
      <w:r>
        <w:rPr>
          <w:rFonts w:hint="eastAsia"/>
          <w:sz w:val="24"/>
          <w:szCs w:val="24"/>
        </w:rPr>
        <w:drawing>
          <wp:inline distT="0" distB="0" distL="114300" distR="114300">
            <wp:extent cx="5080000" cy="3810000"/>
            <wp:effectExtent l="0" t="6350" r="0" b="19050"/>
            <wp:docPr id="9" name="图示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bookmarkStart w:id="5" w:name="_GoBack"/>
      <w:bookmarkEnd w:id="5"/>
    </w:p>
    <w:p w14:paraId="11D486FA">
      <w:pPr>
        <w:rPr>
          <w:rFonts w:hint="default" w:eastAsia="黑体" w:cs="Times New Roman (标题 CS)" w:asciiTheme="minorHAnsi" w:hAnsiTheme="minorHAnsi"/>
          <w:b/>
          <w:bCs/>
          <w:kern w:val="2"/>
          <w:sz w:val="30"/>
          <w:szCs w:val="32"/>
          <w:lang w:val="en-US" w:eastAsia="zh-CN" w:bidi="ar-SA"/>
        </w:rPr>
      </w:pPr>
      <w:r>
        <w:rPr>
          <w:rFonts w:hint="eastAsia" w:eastAsia="黑体" w:cs="Times New Roman (标题 CS)" w:asciiTheme="minorHAnsi" w:hAnsiTheme="minorHAnsi"/>
          <w:b/>
          <w:bCs/>
          <w:kern w:val="2"/>
          <w:sz w:val="30"/>
          <w:szCs w:val="32"/>
          <w:lang w:val="en-US" w:eastAsia="zh-CN" w:bidi="ar-SA"/>
        </w:rPr>
        <w:t>5.1 收入来源</w:t>
      </w:r>
    </w:p>
    <w:p w14:paraId="501A9840">
      <w:pPr>
        <w:rPr>
          <w:rFonts w:hint="eastAsia"/>
          <w:sz w:val="21"/>
          <w:szCs w:val="21"/>
        </w:rPr>
      </w:pPr>
    </w:p>
    <w:p w14:paraId="4795604D">
      <w:pPr>
        <w:rPr>
          <w:rFonts w:hint="eastAsia"/>
          <w:sz w:val="21"/>
          <w:szCs w:val="21"/>
        </w:rPr>
      </w:pPr>
      <w:r>
        <w:rPr>
          <w:rFonts w:hint="eastAsia"/>
          <w:sz w:val="21"/>
          <w:szCs w:val="21"/>
        </w:rPr>
        <w:t>平台的收入来源主要包括以下几方面：</w:t>
      </w:r>
    </w:p>
    <w:p w14:paraId="329EA899">
      <w:pPr>
        <w:rPr>
          <w:rFonts w:hint="default" w:ascii="Times New Roman Regular" w:hAnsi="Times New Roman Regular" w:cs="Times New Roman Regular"/>
          <w:sz w:val="21"/>
          <w:szCs w:val="21"/>
        </w:rPr>
      </w:pPr>
    </w:p>
    <w:p w14:paraId="538A83D2">
      <w:pPr>
        <w:rPr>
          <w:rFonts w:hint="default" w:cs="宋体" w:asciiTheme="minorHAnsi" w:hAnsiTheme="minorHAnsi" w:eastAsiaTheme="minorEastAsia"/>
          <w:b/>
          <w:bCs/>
          <w:kern w:val="0"/>
          <w:sz w:val="28"/>
          <w:szCs w:val="28"/>
          <w:lang w:val="en-US" w:eastAsia="zh-CN" w:bidi="ar-SA"/>
        </w:rPr>
      </w:pPr>
      <w:r>
        <w:rPr>
          <w:rFonts w:hint="eastAsia" w:cs="宋体" w:asciiTheme="minorHAnsi" w:hAnsiTheme="minorHAnsi" w:eastAsiaTheme="minorEastAsia"/>
          <w:b/>
          <w:bCs/>
          <w:kern w:val="0"/>
          <w:sz w:val="28"/>
          <w:szCs w:val="28"/>
          <w:lang w:val="en-US" w:eastAsia="zh-CN" w:bidi="ar-SA"/>
        </w:rPr>
        <w:t>5.1.1 在线问诊服务费</w:t>
      </w:r>
    </w:p>
    <w:p w14:paraId="3C83084B">
      <w:pPr>
        <w:rPr>
          <w:rFonts w:hint="eastAsia"/>
          <w:sz w:val="21"/>
          <w:szCs w:val="21"/>
        </w:rPr>
      </w:pPr>
    </w:p>
    <w:p w14:paraId="11A06644">
      <w:pPr>
        <w:ind w:firstLine="420" w:firstLineChars="0"/>
        <w:rPr>
          <w:rFonts w:hint="eastAsia"/>
          <w:sz w:val="21"/>
          <w:szCs w:val="21"/>
        </w:rPr>
      </w:pPr>
      <w:r>
        <w:rPr>
          <w:rFonts w:hint="eastAsia" w:asciiTheme="minorEastAsia" w:hAnsiTheme="minorEastAsia" w:eastAsiaTheme="minorEastAsia" w:cstheme="minorEastAsia"/>
          <w:sz w:val="21"/>
          <w:szCs w:val="21"/>
        </w:rPr>
        <w:t>当用户需要专业皮肤科医生的建议时，可通过 App 发起图文或视频问诊，由合作的执业皮肤科医生提供服务。此类问诊服务按次收费，用户通过在线支付完成问诊费用，平台与医生按照分成模式共享收入。相比线下医院问诊，这种在线服务费用相对低廉且即时高效：用户获得便捷及时的医疗咨询，医生获取额外收入，平台则满足了用户对即时医疗服务的强烈需求并由此获得稳定的现金流。</w:t>
      </w:r>
    </w:p>
    <w:p w14:paraId="440D82A4">
      <w:pPr>
        <w:rPr>
          <w:rFonts w:hint="eastAsia" w:cs="宋体" w:asciiTheme="minorHAnsi" w:hAnsiTheme="minorHAnsi" w:eastAsiaTheme="minorEastAsia"/>
          <w:b/>
          <w:bCs/>
          <w:kern w:val="0"/>
          <w:sz w:val="28"/>
          <w:szCs w:val="28"/>
          <w:lang w:val="en-US" w:eastAsia="zh-CN" w:bidi="ar-SA"/>
        </w:rPr>
      </w:pPr>
      <w:r>
        <w:rPr>
          <w:rFonts w:hint="eastAsia" w:cs="宋体" w:asciiTheme="minorHAnsi" w:hAnsiTheme="minorHAnsi" w:eastAsiaTheme="minorEastAsia"/>
          <w:b/>
          <w:bCs/>
          <w:kern w:val="0"/>
          <w:sz w:val="28"/>
          <w:szCs w:val="28"/>
          <w:lang w:val="en-US" w:eastAsia="zh-CN" w:bidi="ar-SA"/>
        </w:rPr>
        <w:t>5.1.2 会员增值订阅</w:t>
      </w:r>
    </w:p>
    <w:p w14:paraId="76CD8CD6">
      <w:pPr>
        <w:ind w:firstLine="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针对有长期护肤管理需求的核心用户，肌智管家推出按月或按年付费的会员增值服务。订阅会员可享受一系列专属功能，包括不限次数的 AI 测肤、高级皮肤健康报告、持续的个性化护肤方案调整，以及每月一定次数的专家问诊优惠或免费咨询名额等。用户通过应用内购买完成订阅支付。通过分层定价满足不同用户需求：该模式为深度用户提供高附加值服务（巩固用户忠诚度），同时为平台带来可预期的持续性收入。</w:t>
      </w:r>
    </w:p>
    <w:p w14:paraId="77EC83F6">
      <w:pPr>
        <w:rPr>
          <w:rFonts w:hint="eastAsia" w:cs="宋体" w:asciiTheme="minorHAnsi" w:hAnsiTheme="minorHAnsi" w:eastAsiaTheme="minorEastAsia"/>
          <w:b/>
          <w:bCs/>
          <w:kern w:val="0"/>
          <w:sz w:val="28"/>
          <w:szCs w:val="28"/>
          <w:lang w:val="en-US" w:eastAsia="zh-CN" w:bidi="ar-SA"/>
        </w:rPr>
      </w:pPr>
      <w:r>
        <w:rPr>
          <w:rFonts w:hint="eastAsia" w:cs="宋体" w:asciiTheme="minorHAnsi" w:hAnsiTheme="minorHAnsi" w:eastAsiaTheme="minorEastAsia"/>
          <w:b/>
          <w:bCs/>
          <w:kern w:val="0"/>
          <w:sz w:val="28"/>
          <w:szCs w:val="28"/>
          <w:lang w:val="en-US" w:eastAsia="zh-CN" w:bidi="ar-SA"/>
        </w:rPr>
        <w:t>5.1.3 电商导流佣金</w:t>
      </w:r>
    </w:p>
    <w:p w14:paraId="3B202F5A">
      <w:pPr>
        <w:ind w:firstLine="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基于 AI 诊断结果和医生建议，平台会向用户智能推荐契合其肤质需求的护肤产品，并提供一键直达合作电商平台的购买链接。用户通过肌智管家的导购链接完成交易后，平台可从合作电商或品牌方获得相应的销售佣金。整个购物流程在应用内无缝衔接，用户无需为此额外付费即可享受方便的购买体验。通过这种导流变现模式，平台将专业护肤建议直接转化为商品销售，顺应了线上护肤消费的主流趋势，在为用户创造价值的同时获得交易分成收入。</w:t>
      </w:r>
    </w:p>
    <w:p w14:paraId="2CDE5ED8">
      <w:pPr>
        <w:rPr>
          <w:rFonts w:hint="eastAsia"/>
          <w:sz w:val="21"/>
          <w:szCs w:val="21"/>
        </w:rPr>
      </w:pPr>
    </w:p>
    <w:p w14:paraId="5F9FF442">
      <w:pPr>
        <w:rPr>
          <w:rFonts w:hint="eastAsia" w:cs="宋体" w:asciiTheme="minorHAnsi" w:hAnsiTheme="minorHAnsi" w:eastAsiaTheme="minorEastAsia"/>
          <w:b/>
          <w:bCs/>
          <w:kern w:val="0"/>
          <w:sz w:val="28"/>
          <w:szCs w:val="28"/>
          <w:lang w:val="en-US" w:eastAsia="zh-CN" w:bidi="ar-SA"/>
        </w:rPr>
      </w:pPr>
      <w:r>
        <w:rPr>
          <w:rFonts w:hint="eastAsia" w:cs="宋体" w:asciiTheme="minorHAnsi" w:hAnsiTheme="minorHAnsi" w:eastAsiaTheme="minorEastAsia"/>
          <w:b/>
          <w:bCs/>
          <w:kern w:val="0"/>
          <w:sz w:val="28"/>
          <w:szCs w:val="28"/>
          <w:lang w:val="en-US" w:eastAsia="zh-CN" w:bidi="ar-SA"/>
        </w:rPr>
        <w:t>5.1.4 品牌整合营销</w:t>
      </w:r>
    </w:p>
    <w:p w14:paraId="54AA0EBA">
      <w:pPr>
        <w:ind w:firstLine="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肌智管家通过与护肤品品牌、医美机构等企业客户深度合作，提供多样化的营销和数据服务以实现 B 端收入。一方面，平台利用 AI 测评和海量肤质数据库优势，为品牌方提供产品功效验证报告、用户肤质数据分析等专业服务，并按项目或合同收取服务费用，为品牌的新产品开发和营销提供科学依据。另一方面，平台与品牌联合策划营销活动（如 AI 测肤挑战、产品试用推荐等），品牌方为此支付合作费用或提供等值资源置换。在这一深度整合的商业模式下，平台在不干扰用户体验的前提下变现自身数据和技术价值，不仅拓宽了收入来源，也强化了平台的专业公信力。</w:t>
      </w:r>
    </w:p>
    <w:p w14:paraId="7E588DD8">
      <w:pPr>
        <w:rPr>
          <w:rFonts w:hint="eastAsia"/>
          <w:sz w:val="21"/>
          <w:szCs w:val="21"/>
        </w:rPr>
      </w:pPr>
    </w:p>
    <w:p w14:paraId="4B6AAEF6">
      <w:pPr>
        <w:rPr>
          <w:rFonts w:hint="eastAsia" w:ascii="Times New Roman Regular" w:hAnsi="Times New Roman Regular" w:cs="Times New Roman Regular" w:eastAsiaTheme="minorEastAsia"/>
          <w:sz w:val="21"/>
          <w:szCs w:val="21"/>
          <w:lang w:eastAsia="zh-CN"/>
        </w:rPr>
      </w:pPr>
      <w:r>
        <w:rPr>
          <w:rFonts w:hint="eastAsia" w:ascii="Times New Roman Regular" w:hAnsi="Times New Roman Regular" w:cs="Times New Roman Regular" w:eastAsiaTheme="minorEastAsia"/>
          <w:sz w:val="21"/>
          <w:szCs w:val="21"/>
          <w:lang w:eastAsia="zh-CN"/>
        </w:rPr>
        <w:drawing>
          <wp:inline distT="0" distB="0" distL="114300" distR="114300">
            <wp:extent cx="5080000" cy="3810000"/>
            <wp:effectExtent l="12065" t="11430" r="13335" b="1397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5479B055">
      <w:pPr>
        <w:rPr>
          <w:rFonts w:hint="eastAsia" w:eastAsia="黑体" w:cs="Times New Roman (标题 CS)" w:asciiTheme="minorHAnsi" w:hAnsiTheme="minorHAnsi"/>
          <w:b/>
          <w:bCs/>
          <w:kern w:val="2"/>
          <w:sz w:val="30"/>
          <w:szCs w:val="32"/>
          <w:lang w:val="en-US" w:eastAsia="zh-CN" w:bidi="ar-SA"/>
        </w:rPr>
      </w:pPr>
      <w:r>
        <w:rPr>
          <w:rFonts w:hint="eastAsia" w:eastAsia="黑体" w:cs="Times New Roman (标题 CS)" w:asciiTheme="minorHAnsi" w:hAnsiTheme="minorHAnsi"/>
          <w:b/>
          <w:bCs/>
          <w:kern w:val="2"/>
          <w:sz w:val="30"/>
          <w:szCs w:val="32"/>
          <w:lang w:val="en-US" w:eastAsia="zh-CN" w:bidi="ar-SA"/>
        </w:rPr>
        <w:t>5.2 定价策略</w:t>
      </w:r>
    </w:p>
    <w:p w14:paraId="04188B51">
      <w:pPr>
        <w:ind w:firstLine="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肌智管家采用“免费+增值”的分层定价模式，以匹配其“AI 测肤+在线问诊+电商导购”的服务组合。核心基础功能（如基础的 AI 皮肤检测）将以免费或极低价格提供，降低新用户进入门槛，快速获取大量用户并积累数据、提高留存。随后，针对不同层次需求的用户引入付费服务等级：</w:t>
      </w:r>
    </w:p>
    <w:p w14:paraId="557D14DF">
      <w:pPr>
        <w:ind w:firstLine="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基础版（免费）：提供有限次数的 AI 测肤和基础皮肤报告，用户可免费获得初步的肤质分析和产品推荐，通过亲身体验核心功能来建立对平台的信任。</w:t>
      </w:r>
    </w:p>
    <w:p w14:paraId="06F13CF3">
      <w:pPr>
        <w:ind w:firstLine="420" w:firstLineChars="0"/>
        <w:rPr>
          <w:rFonts w:hint="eastAsia"/>
          <w:sz w:val="21"/>
          <w:szCs w:val="21"/>
        </w:rPr>
      </w:pPr>
      <w:r>
        <w:rPr>
          <w:rFonts w:hint="eastAsia" w:asciiTheme="minorEastAsia" w:hAnsiTheme="minorEastAsia" w:eastAsiaTheme="minorEastAsia" w:cstheme="minorEastAsia"/>
          <w:sz w:val="21"/>
          <w:szCs w:val="21"/>
        </w:rPr>
        <w:t>高级版（订阅）：收取月费或年费，包含不限次数的 AI 测肤、深度定制的护肤方案、皮肤状态持续追踪报告，以及每月若干次专家问诊的免费或优惠名额。高级版将 AI 监测、医生服务和购物折扣等权益整合，为深度用户提供一站式的护肤管理体验。</w:t>
      </w:r>
    </w:p>
    <w:p w14:paraId="7AE88751">
      <w:pPr>
        <w:ind w:firstLine="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平台通过初期的免费试用和优惠活动引导用户体验核心功能，在用户感受到显著价值后再将其转化为付费订阅用户或引导其购买问诊服务。整体定价兼顾用户可接受的亲民性与公司的盈利性：付费服务定价相较线下美容护肤指导或医院问诊更具价格竞争力，同时通过多层级套餐设计最大化用户终身价值和 ARPU（每用户平均收入）。总体而言，此梯度定价策略在扩大用户规模与提升盈利能力之间取得平衡，并将根据市场反馈不断优化调整。</w:t>
      </w:r>
    </w:p>
    <w:p w14:paraId="2FF0CC7A">
      <w:pPr>
        <w:rPr>
          <w:rFonts w:hint="eastAsia"/>
          <w:sz w:val="21"/>
          <w:szCs w:val="21"/>
        </w:rPr>
      </w:pPr>
    </w:p>
    <w:p w14:paraId="59D0DB3A">
      <w:pPr>
        <w:jc w:val="center"/>
        <w:rPr>
          <w:rFonts w:hint="eastAsia" w:eastAsia="黑体" w:cs="Times New Roman (标题 CS)" w:asciiTheme="minorHAnsi" w:hAnsiTheme="minorHAnsi"/>
          <w:b/>
          <w:bCs/>
          <w:kern w:val="2"/>
          <w:sz w:val="30"/>
          <w:szCs w:val="32"/>
          <w:lang w:val="en-US" w:eastAsia="zh-CN" w:bidi="ar-SA"/>
        </w:rPr>
      </w:pPr>
      <w:r>
        <w:rPr>
          <w:rFonts w:hint="default" w:ascii="Times New Roman Regular" w:hAnsi="Times New Roman Regular" w:cs="Times New Roman Regular"/>
          <w:sz w:val="21"/>
          <w:szCs w:val="21"/>
        </w:rPr>
        <w:drawing>
          <wp:inline distT="0" distB="0" distL="114300" distR="114300">
            <wp:extent cx="5285740" cy="3711575"/>
            <wp:effectExtent l="0" t="0" r="0" b="14986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r>
        <w:rPr>
          <w:rFonts w:hint="default" w:ascii="Times New Roman Regular" w:hAnsi="Times New Roman Regular" w:cs="Times New Roman Regular"/>
          <w:sz w:val="21"/>
          <w:szCs w:val="21"/>
        </w:rPr>
        <w:br w:type="page"/>
      </w:r>
      <w:r>
        <w:rPr>
          <w:rFonts w:hint="eastAsia" w:eastAsia="黑体" w:cs="Times New Roman (标题 CS)" w:asciiTheme="minorHAnsi" w:hAnsiTheme="minorHAnsi"/>
          <w:b/>
          <w:bCs/>
          <w:kern w:val="2"/>
          <w:sz w:val="30"/>
          <w:szCs w:val="32"/>
          <w:lang w:val="en-US" w:eastAsia="zh-CN" w:bidi="ar-SA"/>
        </w:rPr>
        <w:t>6.0 核心团队</w:t>
      </w:r>
    </w:p>
    <w:p w14:paraId="0D859133">
      <w:pPr>
        <w:ind w:firstLine="420" w:firstLineChars="0"/>
        <w:rPr>
          <w:rFonts w:hint="eastAsia" w:asciiTheme="minorEastAsia" w:hAnsiTheme="minorEastAsia" w:eastAsiaTheme="minorEastAsia" w:cstheme="minorEastAsia"/>
          <w:sz w:val="21"/>
          <w:szCs w:val="21"/>
        </w:rPr>
      </w:pPr>
    </w:p>
    <w:p w14:paraId="1952E268">
      <w:pPr>
        <w:ind w:firstLine="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我们采用“小而专”的跨学科配置，围绕产品闭环“AI测肤—个性化方案—极速问诊—数据追踪—社区/内容”进行端到端协作，以技术与医疗场景深度耦合为主线，确保从原型到商业化的落地效率与质量。该闭环与本项目产品形态、功能矩阵和差异化定位高度一致。  </w:t>
      </w:r>
    </w:p>
    <w:p w14:paraId="449CBEED">
      <w:pPr>
        <w:ind w:firstLine="420" w:firstLineChars="0"/>
        <w:rPr>
          <w:rFonts w:hint="eastAsia" w:ascii="Times New Roman Regular" w:hAnsi="Times New Roman Regular" w:cs="Times New Roman Regular"/>
          <w:sz w:val="21"/>
          <w:szCs w:val="21"/>
        </w:rPr>
      </w:pPr>
    </w:p>
    <w:p w14:paraId="6E6D4DDD">
      <w:pPr>
        <w:rPr>
          <w:rFonts w:hint="eastAsia" w:eastAsia="黑体" w:cs="Times New Roman (标题 CS)" w:asciiTheme="minorHAnsi" w:hAnsiTheme="minorHAnsi"/>
          <w:b/>
          <w:bCs/>
          <w:kern w:val="2"/>
          <w:sz w:val="30"/>
          <w:szCs w:val="32"/>
          <w:lang w:val="en-US" w:eastAsia="zh-CN" w:bidi="ar-SA"/>
        </w:rPr>
      </w:pPr>
      <w:r>
        <w:rPr>
          <w:rFonts w:hint="eastAsia" w:eastAsia="黑体" w:cs="Times New Roman (标题 CS)" w:asciiTheme="minorHAnsi" w:hAnsiTheme="minorHAnsi"/>
          <w:b/>
          <w:bCs/>
          <w:kern w:val="2"/>
          <w:sz w:val="30"/>
          <w:szCs w:val="32"/>
          <w:lang w:val="en-US" w:eastAsia="zh-CN" w:bidi="ar-SA"/>
        </w:rPr>
        <w:t>6.1 团队成员与职责分工</w:t>
      </w:r>
    </w:p>
    <w:p w14:paraId="52802FBC">
      <w:pPr>
        <w:rPr>
          <w:rFonts w:hint="eastAsia" w:asciiTheme="minorEastAsia" w:hAnsiTheme="minorEastAsia" w:eastAsiaTheme="minorEastAsia" w:cstheme="minorEastAsia"/>
          <w:kern w:val="2"/>
          <w:sz w:val="21"/>
          <w:szCs w:val="21"/>
          <w:lang w:val="en-US" w:eastAsia="zh-CN" w:bidi="ar-SA"/>
        </w:rPr>
      </w:pPr>
    </w:p>
    <w:p w14:paraId="7CFCCE3E">
      <w:pPr>
        <w:rPr>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张雅婷 - 产品负责人 / 项目经理（</w:t>
      </w:r>
      <w:r>
        <w:rPr>
          <w:rFonts w:hint="eastAsia" w:asciiTheme="minorEastAsia" w:hAnsiTheme="minorEastAsia" w:cstheme="minorEastAsia"/>
          <w:kern w:val="2"/>
          <w:sz w:val="21"/>
          <w:szCs w:val="21"/>
          <w:lang w:val="en-US" w:eastAsia="zh-CN" w:bidi="ar-SA"/>
        </w:rPr>
        <w:t>CEO</w:t>
      </w:r>
      <w:r>
        <w:rPr>
          <w:rFonts w:hint="eastAsia" w:asciiTheme="minorEastAsia" w:hAnsiTheme="minorEastAsia" w:eastAsiaTheme="minorEastAsia" w:cstheme="minorEastAsia"/>
          <w:kern w:val="2"/>
          <w:sz w:val="21"/>
          <w:szCs w:val="21"/>
          <w:lang w:val="en-US" w:eastAsia="zh-CN" w:bidi="ar-SA"/>
        </w:rPr>
        <w:t>）</w:t>
      </w:r>
    </w:p>
    <w:p w14:paraId="1A5DD290">
      <w:pPr>
        <w:rPr>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主要职责：负责产品路线图、需求优先级与版本节奏；牵头用户研究与体验规范；统筹隐私与合规评审；对接医院与品牌合作，设计“极速问诊”与订阅/导流的业务路径。</w:t>
      </w:r>
    </w:p>
    <w:p w14:paraId="7A91B9CF">
      <w:pPr>
        <w:rPr>
          <w:rFonts w:hint="eastAsia" w:asciiTheme="minorEastAsia" w:hAnsiTheme="minorEastAsia" w:eastAsiaTheme="minorEastAsia" w:cstheme="minorEastAsia"/>
          <w:kern w:val="2"/>
          <w:sz w:val="21"/>
          <w:szCs w:val="21"/>
          <w:lang w:val="en-US" w:eastAsia="zh-CN" w:bidi="ar-SA"/>
        </w:rPr>
      </w:pPr>
    </w:p>
    <w:p w14:paraId="5077B5ED">
      <w:pPr>
        <w:rPr>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陈佳琪 - 技术负责人 / 算法与数据（CTO）</w:t>
      </w:r>
    </w:p>
    <w:p w14:paraId="00C91AEE">
      <w:pPr>
        <w:rPr>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主要职责：负责AI测肤与推荐引擎：数据治理与标注策略、训练评估与推理优化、A/B测试与MLOps；构建知识库与模型迭代机制，支撑个性化方案与效果追踪可视化。</w:t>
      </w:r>
    </w:p>
    <w:p w14:paraId="55063033">
      <w:pPr>
        <w:rPr>
          <w:rFonts w:hint="eastAsia" w:asciiTheme="minorEastAsia" w:hAnsiTheme="minorEastAsia" w:eastAsiaTheme="minorEastAsia" w:cstheme="minorEastAsia"/>
          <w:kern w:val="2"/>
          <w:sz w:val="21"/>
          <w:szCs w:val="21"/>
          <w:lang w:val="en-US" w:eastAsia="zh-CN" w:bidi="ar-SA"/>
        </w:rPr>
      </w:pPr>
    </w:p>
    <w:p w14:paraId="6B3E1A9A">
      <w:pPr>
        <w:rPr>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谢晓璐 - 前端与增长负责人（App/UX）</w:t>
      </w:r>
    </w:p>
    <w:p w14:paraId="76F88C86">
      <w:pPr>
        <w:rPr>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主要职责：负责移动端架构与交互落地：拍照/相册检测流程、皮肤报告可视化、打卡与“30天改善挑战”、社区与知识中心内容呈现；制定增长漏斗与留存机制。</w:t>
      </w:r>
    </w:p>
    <w:p w14:paraId="5A4F1EF2">
      <w:pPr>
        <w:rPr>
          <w:rFonts w:hint="eastAsia" w:asciiTheme="minorEastAsia" w:hAnsiTheme="minorEastAsia" w:eastAsiaTheme="minorEastAsia" w:cstheme="minorEastAsia"/>
          <w:sz w:val="21"/>
          <w:szCs w:val="21"/>
          <w:lang w:val="en-US" w:eastAsia="zh-CN"/>
        </w:rPr>
      </w:pPr>
    </w:p>
    <w:p w14:paraId="4F9E5890">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唐玥 - 后端与平台对接负责人（BE/平台）</w:t>
      </w:r>
    </w:p>
    <w:p w14:paraId="7229CB2A">
      <w:pPr>
        <w:rPr>
          <w:rFonts w:hint="eastAsia" w:ascii="Times New Roman Regular" w:hAnsi="Times New Roman Regular" w:cs="Times New Roman Regular"/>
          <w:sz w:val="21"/>
          <w:szCs w:val="21"/>
          <w:lang w:val="en-US" w:eastAsia="zh-CN"/>
        </w:rPr>
      </w:pPr>
      <w:r>
        <w:rPr>
          <w:rFonts w:hint="eastAsia" w:asciiTheme="minorEastAsia" w:hAnsiTheme="minorEastAsia" w:eastAsiaTheme="minorEastAsia" w:cstheme="minorEastAsia"/>
          <w:sz w:val="21"/>
          <w:szCs w:val="21"/>
          <w:lang w:val="en-US" w:eastAsia="zh-CN"/>
        </w:rPr>
        <w:t>主要职责：负责账号与订阅、数据服务与审计、消息与异步问诊通道、医院/电商平台API对接；建立数据安全与访问控制策略，确保稳定性与合规。</w:t>
      </w:r>
      <w:r>
        <w:rPr>
          <w:rFonts w:hint="eastAsia" w:ascii="Times New Roman Regular" w:hAnsi="Times New Roman Regular" w:cs="Times New Roman Regular"/>
          <w:sz w:val="21"/>
          <w:szCs w:val="21"/>
          <w:lang w:val="en-US" w:eastAsia="zh-CN"/>
        </w:rPr>
        <w:drawing>
          <wp:inline distT="0" distB="0" distL="114300" distR="114300">
            <wp:extent cx="4954270" cy="3583305"/>
            <wp:effectExtent l="85725" t="0" r="14605" b="0"/>
            <wp:docPr id="6" name="图示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2C2E58A0">
      <w:pPr>
        <w:rPr>
          <w:rFonts w:hint="eastAsia" w:eastAsia="黑体" w:cs="Times New Roman (标题 CS)" w:asciiTheme="minorHAnsi" w:hAnsiTheme="minorHAnsi"/>
          <w:b/>
          <w:bCs/>
          <w:kern w:val="2"/>
          <w:sz w:val="30"/>
          <w:szCs w:val="32"/>
          <w:lang w:val="en-US" w:eastAsia="zh-CN" w:bidi="ar-SA"/>
        </w:rPr>
      </w:pPr>
      <w:r>
        <w:rPr>
          <w:rFonts w:hint="eastAsia" w:eastAsia="黑体" w:cs="Times New Roman (标题 CS)" w:asciiTheme="minorHAnsi" w:hAnsiTheme="minorHAnsi"/>
          <w:b/>
          <w:bCs/>
          <w:kern w:val="2"/>
          <w:sz w:val="30"/>
          <w:szCs w:val="32"/>
          <w:lang w:val="en-US" w:eastAsia="zh-CN" w:bidi="ar-SA"/>
        </w:rPr>
        <w:t>6.2 团队核心竞争力</w:t>
      </w:r>
    </w:p>
    <w:p w14:paraId="7E6B7BDD">
      <w:pPr>
        <w:rPr>
          <w:rFonts w:hint="eastAsia" w:cs="宋体" w:asciiTheme="minorHAnsi" w:hAnsiTheme="minorHAnsi" w:eastAsiaTheme="minorEastAsia"/>
          <w:b/>
          <w:bCs/>
          <w:kern w:val="0"/>
          <w:sz w:val="28"/>
          <w:szCs w:val="28"/>
          <w:lang w:val="en-US" w:eastAsia="zh-CN" w:bidi="ar-SA"/>
        </w:rPr>
      </w:pPr>
      <w:r>
        <w:rPr>
          <w:rFonts w:hint="eastAsia" w:cs="宋体" w:asciiTheme="minorHAnsi" w:hAnsiTheme="minorHAnsi" w:eastAsiaTheme="minorEastAsia"/>
          <w:b/>
          <w:bCs/>
          <w:kern w:val="0"/>
          <w:sz w:val="28"/>
          <w:szCs w:val="28"/>
          <w:lang w:val="en-US" w:eastAsia="zh-CN" w:bidi="ar-SA"/>
        </w:rPr>
        <w:t>6.2.1医工产一体的“产品化落地”能力</w:t>
      </w:r>
    </w:p>
    <w:p w14:paraId="49FA7645">
      <w:pPr>
        <w:pStyle w:val="7"/>
        <w:keepNext w:val="0"/>
        <w:keepLines w:val="0"/>
        <w:widowControl/>
        <w:suppressLineNumbers w:val="0"/>
        <w:spacing w:before="0" w:beforeAutospacing="1" w:after="0" w:afterAutospacing="1"/>
        <w:ind w:left="0" w:right="0"/>
        <w:rPr>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团队覆盖AI影像识别、推荐算法、移动端体验、后端平台与医疗对接的关键环节，能够把“AI测肤—个性化—极速问诊—追踪—社区”做成完整的可运营产品闭环，而非单点功能，显著提升用户价值与转化效率。</w:t>
      </w:r>
    </w:p>
    <w:p w14:paraId="699EF4AF">
      <w:pPr>
        <w:rPr>
          <w:rFonts w:hint="eastAsia" w:cs="宋体" w:asciiTheme="minorHAnsi" w:hAnsiTheme="minorHAnsi" w:eastAsiaTheme="minorEastAsia"/>
          <w:b/>
          <w:bCs/>
          <w:kern w:val="0"/>
          <w:sz w:val="28"/>
          <w:szCs w:val="28"/>
          <w:lang w:val="en-US" w:eastAsia="zh-CN" w:bidi="ar-SA"/>
        </w:rPr>
      </w:pPr>
      <w:r>
        <w:rPr>
          <w:rFonts w:hint="eastAsia" w:cs="宋体" w:asciiTheme="minorHAnsi" w:hAnsiTheme="minorHAnsi" w:eastAsiaTheme="minorEastAsia"/>
          <w:b/>
          <w:bCs/>
          <w:kern w:val="0"/>
          <w:sz w:val="28"/>
          <w:szCs w:val="28"/>
          <w:lang w:val="en-US" w:eastAsia="zh-CN" w:bidi="ar-SA"/>
        </w:rPr>
        <w:t>6.2.2可验证的技术壁垒与数据飞轮</w:t>
      </w:r>
    </w:p>
    <w:p w14:paraId="708614DB">
      <w:pPr>
        <w:pStyle w:val="7"/>
        <w:keepNext w:val="0"/>
        <w:keepLines w:val="0"/>
        <w:widowControl/>
        <w:suppressLineNumbers w:val="0"/>
        <w:spacing w:before="0" w:beforeAutospacing="1" w:after="0" w:afterAutospacing="1"/>
        <w:ind w:left="0" w:right="0"/>
        <w:rPr>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以海量皮肤影像/病例与知识库驱动的深度模型为核心，目标识别准确率≥90%，并通过持续的数据回流与A/B机制实现“越用越准”，支撑个性化方案与疗效可视化。</w:t>
      </w:r>
    </w:p>
    <w:p w14:paraId="4FECBE27">
      <w:pPr>
        <w:rPr>
          <w:rFonts w:hint="eastAsia" w:cs="宋体" w:asciiTheme="minorHAnsi" w:hAnsiTheme="minorHAnsi" w:eastAsiaTheme="minorEastAsia"/>
          <w:b/>
          <w:bCs/>
          <w:kern w:val="0"/>
          <w:sz w:val="28"/>
          <w:szCs w:val="28"/>
          <w:lang w:val="en-US" w:eastAsia="zh-CN" w:bidi="ar-SA"/>
        </w:rPr>
      </w:pPr>
      <w:r>
        <w:rPr>
          <w:rFonts w:hint="eastAsia" w:cs="宋体" w:asciiTheme="minorHAnsi" w:hAnsiTheme="minorHAnsi" w:eastAsiaTheme="minorEastAsia"/>
          <w:b/>
          <w:bCs/>
          <w:kern w:val="0"/>
          <w:sz w:val="28"/>
          <w:szCs w:val="28"/>
          <w:lang w:val="en-US" w:eastAsia="zh-CN" w:bidi="ar-SA"/>
        </w:rPr>
        <w:t>6.2.3“AI+医生服务”的差异化定位</w:t>
      </w:r>
    </w:p>
    <w:p w14:paraId="178FCF1B">
      <w:pPr>
        <w:pStyle w:val="7"/>
        <w:keepNext w:val="0"/>
        <w:keepLines w:val="0"/>
        <w:widowControl/>
        <w:suppressLineNumbers w:val="0"/>
        <w:spacing w:before="0" w:beforeAutospacing="1" w:after="0" w:afterAutospacing="1"/>
        <w:ind w:left="0" w:right="0"/>
        <w:rPr>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 xml:space="preserve">以AI报告先行赋能问诊，提升医生效率并降低用户试错成本，构建从检测到处置的专业闭环，相比仅有问诊/电商/基础测肤的竞品形成显著区隔。 </w:t>
      </w:r>
    </w:p>
    <w:p w14:paraId="55714144">
      <w:pPr>
        <w:rPr>
          <w:rFonts w:hint="eastAsia" w:cs="宋体" w:asciiTheme="minorHAnsi" w:hAnsiTheme="minorHAnsi" w:eastAsiaTheme="minorEastAsia"/>
          <w:b/>
          <w:bCs/>
          <w:kern w:val="0"/>
          <w:sz w:val="28"/>
          <w:szCs w:val="28"/>
          <w:lang w:val="en-US" w:eastAsia="zh-CN" w:bidi="ar-SA"/>
        </w:rPr>
      </w:pPr>
      <w:r>
        <w:rPr>
          <w:rFonts w:hint="eastAsia" w:cs="宋体" w:asciiTheme="minorHAnsi" w:hAnsiTheme="minorHAnsi" w:eastAsiaTheme="minorEastAsia"/>
          <w:b/>
          <w:bCs/>
          <w:kern w:val="0"/>
          <w:sz w:val="28"/>
          <w:szCs w:val="28"/>
          <w:lang w:val="en-US" w:eastAsia="zh-CN" w:bidi="ar-SA"/>
        </w:rPr>
        <w:t>6.2.4渠道与商业路径清晰</w:t>
      </w:r>
    </w:p>
    <w:p w14:paraId="2474EF29">
      <w:pPr>
        <w:pStyle w:val="7"/>
        <w:keepNext w:val="0"/>
        <w:keepLines w:val="0"/>
        <w:widowControl/>
        <w:suppressLineNumbers w:val="0"/>
        <w:spacing w:before="0" w:beforeAutospacing="1" w:after="0" w:afterAutospacing="1"/>
        <w:ind w:left="0" w:right="0"/>
        <w:rPr>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顺应“线上主导、功效护肤”趋势与用户对远程健康管理的接受度，业务天然契合线上获客与导流；变现路径涵盖订阅、问诊收费与电商导流/B2B赋能，收入结构更健康。</w:t>
      </w:r>
    </w:p>
    <w:p w14:paraId="60EE961C">
      <w:pPr>
        <w:rPr>
          <w:rFonts w:hint="eastAsia" w:cs="宋体" w:asciiTheme="minorHAnsi" w:hAnsiTheme="minorHAnsi" w:eastAsiaTheme="minorEastAsia"/>
          <w:b/>
          <w:bCs/>
          <w:kern w:val="0"/>
          <w:sz w:val="28"/>
          <w:szCs w:val="28"/>
          <w:lang w:val="en-US" w:eastAsia="zh-CN" w:bidi="ar-SA"/>
        </w:rPr>
      </w:pPr>
      <w:r>
        <w:rPr>
          <w:rFonts w:hint="eastAsia" w:cs="宋体" w:asciiTheme="minorHAnsi" w:hAnsiTheme="minorHAnsi" w:eastAsiaTheme="minorEastAsia"/>
          <w:b/>
          <w:bCs/>
          <w:kern w:val="0"/>
          <w:sz w:val="28"/>
          <w:szCs w:val="28"/>
          <w:lang w:val="en-US" w:eastAsia="zh-CN" w:bidi="ar-SA"/>
        </w:rPr>
        <w:t>6.2.5合规与安全内生化</w:t>
      </w:r>
    </w:p>
    <w:p w14:paraId="1D6F5D14">
      <w:pPr>
        <w:pStyle w:val="7"/>
        <w:keepNext w:val="0"/>
        <w:keepLines w:val="0"/>
        <w:widowControl/>
        <w:suppressLineNumbers w:val="0"/>
        <w:spacing w:before="0" w:beforeAutospacing="1" w:after="0" w:afterAutospacing="1"/>
        <w:ind w:left="0" w:right="0"/>
        <w:rPr>
          <w:rFonts w:hint="default"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 xml:space="preserve">在产品设计阶段即纳入隐私保护、数据最小化与访问审计；通过与权威医院/平台合作实现合规的在线问诊与处方流程，降低政策与合规不确定性风险。   </w:t>
      </w:r>
    </w:p>
    <w:p w14:paraId="17CCF346">
      <w:pPr>
        <w:rPr>
          <w:rFonts w:hint="eastAsia" w:eastAsia="黑体" w:cs="Times New Roman (标题 CS)" w:asciiTheme="minorHAnsi" w:hAnsiTheme="minorHAnsi"/>
          <w:b/>
          <w:bCs/>
          <w:kern w:val="2"/>
          <w:sz w:val="30"/>
          <w:szCs w:val="32"/>
          <w:lang w:val="en-US" w:eastAsia="zh-CN" w:bidi="ar-SA"/>
        </w:rPr>
      </w:pPr>
      <w:r>
        <w:rPr>
          <w:rFonts w:hint="eastAsia" w:eastAsia="黑体" w:cs="Times New Roman (标题 CS)" w:asciiTheme="minorHAnsi" w:hAnsiTheme="minorHAnsi"/>
          <w:b/>
          <w:bCs/>
          <w:kern w:val="2"/>
          <w:sz w:val="30"/>
          <w:szCs w:val="32"/>
          <w:lang w:val="en-US" w:eastAsia="zh-CN" w:bidi="ar-SA"/>
        </w:rPr>
        <w:br w:type="page"/>
      </w:r>
    </w:p>
    <w:p w14:paraId="36C6EA2D">
      <w:pPr>
        <w:jc w:val="center"/>
        <w:rPr>
          <w:rFonts w:hint="eastAsia" w:eastAsia="黑体" w:cs="Times New Roman (标题 CS)" w:asciiTheme="minorHAnsi" w:hAnsiTheme="minorHAnsi"/>
          <w:b/>
          <w:bCs/>
          <w:kern w:val="2"/>
          <w:sz w:val="30"/>
          <w:szCs w:val="32"/>
          <w:lang w:val="en-US" w:eastAsia="zh-CN" w:bidi="ar-SA"/>
        </w:rPr>
      </w:pPr>
      <w:r>
        <w:rPr>
          <w:rFonts w:hint="eastAsia" w:eastAsia="黑体" w:cs="Times New Roman (标题 CS)" w:asciiTheme="minorHAnsi" w:hAnsiTheme="minorHAnsi"/>
          <w:b/>
          <w:bCs/>
          <w:kern w:val="2"/>
          <w:sz w:val="30"/>
          <w:szCs w:val="32"/>
          <w:lang w:val="en-US" w:eastAsia="zh-CN" w:bidi="ar-SA"/>
        </w:rPr>
        <w:t>7.0 风险分析与应对策略</w:t>
      </w:r>
    </w:p>
    <w:p w14:paraId="2B601812">
      <w:pP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drawing>
          <wp:inline distT="0" distB="0" distL="114300" distR="114300">
            <wp:extent cx="5262245" cy="4751705"/>
            <wp:effectExtent l="0" t="0" r="20955" b="23495"/>
            <wp:docPr id="7" name="图片 7" descr="市场分析—波士顿矩阵模型（中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市场分析—波士顿矩阵模型（中英）"/>
                    <pic:cNvPicPr>
                      <a:picLocks noChangeAspect="1"/>
                    </pic:cNvPicPr>
                  </pic:nvPicPr>
                  <pic:blipFill>
                    <a:blip r:embed="rId28"/>
                    <a:stretch>
                      <a:fillRect/>
                    </a:stretch>
                  </pic:blipFill>
                  <pic:spPr>
                    <a:xfrm>
                      <a:off x="0" y="0"/>
                      <a:ext cx="5262245" cy="4751705"/>
                    </a:xfrm>
                    <a:prstGeom prst="rect">
                      <a:avLst/>
                    </a:prstGeom>
                  </pic:spPr>
                </pic:pic>
              </a:graphicData>
            </a:graphic>
          </wp:inline>
        </w:drawing>
      </w:r>
    </w:p>
    <w:p w14:paraId="0006AF13">
      <w:pPr>
        <w:rPr>
          <w:rFonts w:hint="eastAsia" w:asciiTheme="minorEastAsia" w:hAnsiTheme="minorEastAsia" w:eastAsiaTheme="minorEastAsia" w:cstheme="minorEastAsia"/>
          <w:sz w:val="21"/>
          <w:szCs w:val="21"/>
        </w:rPr>
      </w:pPr>
    </w:p>
    <w:p w14:paraId="4F9AD701">
      <w:pPr>
        <w:rPr>
          <w:rFonts w:hint="eastAsia" w:eastAsia="黑体" w:cs="Times New Roman (标题 CS)" w:asciiTheme="minorHAnsi" w:hAnsiTheme="minorHAnsi"/>
          <w:b/>
          <w:bCs/>
          <w:kern w:val="2"/>
          <w:sz w:val="30"/>
          <w:szCs w:val="32"/>
          <w:lang w:val="en-US" w:eastAsia="zh-CN" w:bidi="ar-SA"/>
        </w:rPr>
      </w:pPr>
      <w:r>
        <w:rPr>
          <w:rFonts w:hint="eastAsia" w:eastAsia="黑体" w:cs="Times New Roman (标题 CS)" w:asciiTheme="minorHAnsi" w:hAnsiTheme="minorHAnsi"/>
          <w:b/>
          <w:bCs/>
          <w:kern w:val="2"/>
          <w:sz w:val="30"/>
          <w:szCs w:val="32"/>
          <w:lang w:val="en-US" w:eastAsia="zh-CN" w:bidi="ar-SA"/>
        </w:rPr>
        <w:t>7.1 技术风险</w:t>
      </w:r>
    </w:p>
    <w:p w14:paraId="4064670F">
      <w:pPr>
        <w:rPr>
          <w:rFonts w:hint="eastAsia"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rPr>
        <w:t>AI模型训练难度：</w:t>
      </w:r>
    </w:p>
    <w:p w14:paraId="5160B5D0">
      <w:pPr>
        <w:ind w:firstLine="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项目依赖深度学习模型进行皮肤诊断，但训练高精度AI模型需要海量专业数据和强大算力支持。模型训练与持续优化迭代需要投入巨大的计算资源、专业技术人才和资金</w:t>
      </w:r>
      <w:r>
        <w:rPr>
          <w:rFonts w:hint="eastAsia"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sz w:val="21"/>
          <w:szCs w:val="21"/>
        </w:rPr>
        <w:t>这带来研发周期长、成本高的风险。</w:t>
      </w:r>
    </w:p>
    <w:p w14:paraId="4B1DD27B">
      <w:pPr>
        <w:rPr>
          <w:rFonts w:hint="eastAsia"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rPr>
        <w:t>应对策略：</w:t>
      </w:r>
    </w:p>
    <w:p w14:paraId="3AE9E55B">
      <w:pPr>
        <w:ind w:firstLine="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加大研发投入并寻求技术合作，例如与高校研究机构共享数据和算法经验，采用迁移学习等技术降低对海量数据的依赖。同时引入经验丰富的AI工程师团队，提高模型训练效率，控制研发进度和成本。</w:t>
      </w:r>
    </w:p>
    <w:p w14:paraId="53BD5A9E">
      <w:pPr>
        <w:rPr>
          <w:rFonts w:hint="eastAsia" w:asciiTheme="minorEastAsia" w:hAnsiTheme="minorEastAsia" w:eastAsiaTheme="minorEastAsia" w:cstheme="minorEastAsia"/>
          <w:sz w:val="21"/>
          <w:szCs w:val="21"/>
        </w:rPr>
      </w:pPr>
    </w:p>
    <w:p w14:paraId="7466410F">
      <w:pPr>
        <w:rPr>
          <w:rFonts w:hint="eastAsia"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rPr>
        <w:t>数据隐私安全风险：</w:t>
      </w:r>
    </w:p>
    <w:p w14:paraId="345F76FE">
      <w:pPr>
        <w:ind w:firstLine="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平台核心功能涉及处理用户面部照片和皮肤健康等高度敏感的个人数据。如果在数据存储或传输中出现任何安全漏洞，可能对平台声誉造成致命打击。</w:t>
      </w:r>
    </w:p>
    <w:p w14:paraId="121C4212">
      <w:pPr>
        <w:rPr>
          <w:rFonts w:hint="eastAsia"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rPr>
        <w:t>应对策略：</w:t>
      </w:r>
    </w:p>
    <w:p w14:paraId="0A29FF3D">
      <w:pPr>
        <w:ind w:firstLine="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严格落实数据安全保护措施，包括采用医疗级别的加密存储、传输协议和访问控制。平台应符合相关隐私合规要求，获取例如ISO/IEC 27001信息安全认证等资质。建立完善的用户数据权限管理机制，仅收集必要数据并匿名化处理，定期进行安全漏洞扫描和应急演练，防止用户隐私泄露。</w:t>
      </w:r>
    </w:p>
    <w:p w14:paraId="1E63C5A4">
      <w:pPr>
        <w:ind w:firstLine="420" w:firstLineChars="0"/>
        <w:rPr>
          <w:rFonts w:hint="eastAsia" w:asciiTheme="minorEastAsia" w:hAnsiTheme="minorEastAsia" w:eastAsiaTheme="minorEastAsia" w:cstheme="minorEastAsia"/>
          <w:sz w:val="21"/>
          <w:szCs w:val="21"/>
        </w:rPr>
      </w:pPr>
    </w:p>
    <w:p w14:paraId="6EE8E1B9">
      <w:pP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8"/>
          <w:szCs w:val="28"/>
        </w:rPr>
        <w:t>系统迭代与维护成本：</w:t>
      </w:r>
    </w:p>
    <w:p w14:paraId="035C5066">
      <w:pPr>
        <w:ind w:firstLine="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AI测肤算法和配套的软件系统需要不断更新迭代以保持行业领先。然而频繁的系统升级和模型优化会产生较高的维护成本。技术团队还需快速适配新出现的皮肤问题和扩展功能，这对开发敏捷性提出要求。</w:t>
      </w:r>
    </w:p>
    <w:p w14:paraId="4CC84E40">
      <w:pPr>
        <w:rPr>
          <w:rFonts w:hint="eastAsia"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rPr>
        <w:t>应对策略：</w:t>
      </w:r>
    </w:p>
    <w:p w14:paraId="4A9E5071">
      <w:pPr>
        <w:ind w:firstLine="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采用模块化架构设计，提升系统扩展性，降低每次迭代的边际成本。引入自动化运维(DevOps)工具监控系统性能，及时发现并修复问题，减少人为维护工作量。通过制定清晰的技术路线图和迭代计划，聚焦核心功能优先优化，避免不必要的重复开发，以此控制长期运营的技术成本。</w:t>
      </w:r>
    </w:p>
    <w:p w14:paraId="175B1093">
      <w:pPr>
        <w:ind w:firstLine="420" w:firstLineChars="0"/>
        <w:rPr>
          <w:rFonts w:hint="eastAsia" w:asciiTheme="minorEastAsia" w:hAnsiTheme="minorEastAsia" w:eastAsiaTheme="minorEastAsia" w:cstheme="minorEastAsia"/>
          <w:sz w:val="21"/>
          <w:szCs w:val="21"/>
        </w:rPr>
      </w:pPr>
    </w:p>
    <w:p w14:paraId="77412F77">
      <w:pPr>
        <w:rPr>
          <w:rFonts w:hint="eastAsia" w:eastAsia="黑体" w:cs="Times New Roman (标题 CS)" w:asciiTheme="minorHAnsi" w:hAnsiTheme="minorHAnsi"/>
          <w:b/>
          <w:bCs/>
          <w:kern w:val="2"/>
          <w:sz w:val="30"/>
          <w:szCs w:val="32"/>
          <w:lang w:val="en-US" w:eastAsia="zh-CN" w:bidi="ar-SA"/>
        </w:rPr>
      </w:pPr>
      <w:r>
        <w:rPr>
          <w:rFonts w:hint="eastAsia" w:eastAsia="黑体" w:cs="Times New Roman (标题 CS)" w:asciiTheme="minorHAnsi" w:hAnsiTheme="minorHAnsi"/>
          <w:b/>
          <w:bCs/>
          <w:kern w:val="2"/>
          <w:sz w:val="30"/>
          <w:szCs w:val="32"/>
          <w:lang w:val="en-US" w:eastAsia="zh-CN" w:bidi="ar-SA"/>
        </w:rPr>
        <w:t>7.2 市场风险</w:t>
      </w:r>
    </w:p>
    <w:p w14:paraId="5A6A2506">
      <w:pPr>
        <w:rPr>
          <w:rFonts w:hint="eastAsia"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rPr>
        <w:t>用户教育与信任风险：</w:t>
      </w:r>
    </w:p>
    <w:p w14:paraId="61424F31">
      <w:pPr>
        <w:ind w:firstLine="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作为新兴的AI皮肤健康管理应用，用户对于AI诊断结果的接受度需要时间培养。初期许多用户可能缺乏对AI测肤的认知和信任，对其客观性和有效性存疑。这意味着市场推广初期需要投入额外成本向用户科普，引导其正确使用产品。</w:t>
      </w:r>
    </w:p>
    <w:p w14:paraId="7B332B32">
      <w:pP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8"/>
          <w:szCs w:val="28"/>
        </w:rPr>
        <w:t>应对策略：</w:t>
      </w:r>
    </w:p>
    <w:p w14:paraId="79D4B2C2">
      <w:pPr>
        <w:ind w:firstLine="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加强用户教育，通过新媒体科普、专家背书等方式提高大众对AI护肤的认识。例如发布皮肤科医生对AI诊断准确度的评价，展示成功案例来建立可信度。提供新用户免费试用机会，让用户亲身体验AI测肤的专业性，从而降低认知门槛。同时，在App内清晰解释AI诊断依据，提升结果透明度，以此逐步建立用户对平台的信任。</w:t>
      </w:r>
    </w:p>
    <w:p w14:paraId="76E0BBD9">
      <w:pPr>
        <w:rPr>
          <w:rFonts w:hint="eastAsia" w:asciiTheme="minorEastAsia" w:hAnsiTheme="minorEastAsia" w:eastAsiaTheme="minorEastAsia" w:cstheme="minorEastAsia"/>
          <w:sz w:val="21"/>
          <w:szCs w:val="21"/>
        </w:rPr>
      </w:pPr>
    </w:p>
    <w:p w14:paraId="01F6E61F">
      <w:pPr>
        <w:rPr>
          <w:rFonts w:hint="eastAsia"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rPr>
        <w:t>市场竞争风险：</w:t>
      </w:r>
    </w:p>
    <w:p w14:paraId="1EB53293">
      <w:pPr>
        <w:ind w:firstLine="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护肤品和互联网医疗领域竞争者众多，巨头企业可能利用既有优势进入本赛道，对“肌智管家”形成威胁。例如，美妆社区或电商巨头（如小红书）完全可能整合类似的AI测肤功能，并借助其高黏性社区和庞大流量迅速抢占用户。又或者综合互联网医疗平台（如平安好医生）增强皮肤科线上服务，抢夺我们的专业细分市场。此外，AI测肤这一技术本身不存在不可逾越的壁垒，其他公司可以通过重金投入或收购快速复制本平台的技术。</w:t>
      </w:r>
    </w:p>
    <w:p w14:paraId="080C97CA">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sz w:val="28"/>
          <w:szCs w:val="28"/>
        </w:rPr>
        <w:t>应对策略：</w:t>
      </w:r>
    </w:p>
    <w:p w14:paraId="6A9D201C">
      <w:pPr>
        <w:ind w:firstLine="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采取差异化竞争策略，构筑技术和服务壁垒。首先，持续加强平台的AI算法能力和皮肤科医学积累，保持先发技术优势，通过数据积累形成“越用越准”的良性循环技术壁垒。其次，专注提供竞品缺少的专业服务闭环，例如将AI诊断与皮肤科专家咨询深度结合，提供独家价值。与此同时，密切关注市场动态，及时调整战略：在巨头进入早期寻找合作而非对抗，例如与电商平台建立导流合作，借力其流量优势；或专注细分人群和定制化功能，避开与综合性巨头的直接竞争。</w:t>
      </w:r>
    </w:p>
    <w:p w14:paraId="1EFE87AE">
      <w:pPr>
        <w:ind w:firstLine="420" w:firstLineChars="0"/>
        <w:rPr>
          <w:rFonts w:hint="eastAsia" w:asciiTheme="minorEastAsia" w:hAnsiTheme="minorEastAsia" w:eastAsiaTheme="minorEastAsia" w:cstheme="minorEastAsia"/>
          <w:sz w:val="21"/>
          <w:szCs w:val="21"/>
        </w:rPr>
      </w:pPr>
    </w:p>
    <w:p w14:paraId="0E4F6D41">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sz w:val="28"/>
          <w:szCs w:val="28"/>
        </w:rPr>
        <w:t>平台黏性风险：</w:t>
      </w:r>
    </w:p>
    <w:p w14:paraId="7092F0AC">
      <w:pPr>
        <w:ind w:firstLine="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在获取用户之后，如何提高用户留存和使用频率是市场运营的重要挑战。如果产品缺乏黏性，用户可能在短暂体验后弃用，从而导致获客成本无法回收。</w:t>
      </w:r>
    </w:p>
    <w:p w14:paraId="2984E66E">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sz w:val="28"/>
          <w:szCs w:val="28"/>
        </w:rPr>
        <w:t>应对策略：</w:t>
      </w:r>
    </w:p>
    <w:p w14:paraId="641B8A16">
      <w:pPr>
        <w:ind w:firstLine="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通过丰富社区和互动功能增强用户黏性。例如，引入用户激励机制，发起“30天皮肤改善打卡挑战”等活动，鼓励用户每天记录皮肤变化并分享心得，以提升平台使用频率和用户粘性  。同时，构建线上社区让用户交流护肤经验，在获得专业服务之余形成社群归属感。通过持续输出有价值的内容（如护肤科普、产品测评）吸引用户定期登录，并结合个性化提醒（如每日护肤计划推送）提升用户长期活跃度。</w:t>
      </w:r>
    </w:p>
    <w:p w14:paraId="5CC82EB9">
      <w:pPr>
        <w:rPr>
          <w:rFonts w:hint="eastAsia" w:asciiTheme="minorEastAsia" w:hAnsiTheme="minorEastAsia" w:eastAsiaTheme="minorEastAsia" w:cstheme="minorEastAsia"/>
          <w:sz w:val="21"/>
          <w:szCs w:val="21"/>
        </w:rPr>
      </w:pPr>
    </w:p>
    <w:p w14:paraId="7B1D81AC">
      <w:pPr>
        <w:rPr>
          <w:rFonts w:hint="eastAsia" w:eastAsia="黑体" w:cs="Times New Roman (标题 CS)" w:asciiTheme="minorHAnsi" w:hAnsiTheme="minorHAnsi"/>
          <w:b/>
          <w:bCs/>
          <w:kern w:val="2"/>
          <w:sz w:val="30"/>
          <w:szCs w:val="32"/>
          <w:lang w:val="en-US" w:eastAsia="zh-CN" w:bidi="ar-SA"/>
        </w:rPr>
      </w:pPr>
      <w:r>
        <w:rPr>
          <w:rFonts w:hint="eastAsia" w:eastAsia="黑体" w:cs="Times New Roman (标题 CS)"/>
          <w:b/>
          <w:bCs/>
          <w:kern w:val="2"/>
          <w:sz w:val="30"/>
          <w:szCs w:val="32"/>
          <w:lang w:val="en-US" w:eastAsia="zh-CN" w:bidi="ar-SA"/>
        </w:rPr>
        <w:t>7</w:t>
      </w:r>
      <w:r>
        <w:rPr>
          <w:rFonts w:hint="eastAsia" w:eastAsia="黑体" w:cs="Times New Roman (标题 CS)" w:asciiTheme="minorHAnsi" w:hAnsiTheme="minorHAnsi"/>
          <w:b/>
          <w:bCs/>
          <w:kern w:val="2"/>
          <w:sz w:val="30"/>
          <w:szCs w:val="32"/>
          <w:lang w:val="en-US" w:eastAsia="zh-CN" w:bidi="ar-SA"/>
        </w:rPr>
        <w:t>.3 政策与合规风险</w:t>
      </w:r>
    </w:p>
    <w:p w14:paraId="66038101">
      <w:pPr>
        <w:rPr>
          <w:rFonts w:hint="eastAsia"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rPr>
        <w:t>远程医疗监管风险：</w:t>
      </w:r>
    </w:p>
    <w:p w14:paraId="788F9230">
      <w:pPr>
        <w:ind w:firstLine="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本项目涉及在线皮肤科问诊和健康管理服务，属于远程医疗范畴。国家对互联网医疗行为有严格监管要求，如医生资质、医疗机构合作资质等。如果平台未来希望提供更深入的问诊和处方服务，可能需要获得相应的医疗资质或与权威医疗机构合作。政策变化也可能增加远程医疗服务的准入难度。</w:t>
      </w:r>
    </w:p>
    <w:p w14:paraId="3442A28E">
      <w:pPr>
        <w:rPr>
          <w:rFonts w:hint="eastAsia"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rPr>
        <w:t>应对策略：</w:t>
      </w:r>
    </w:p>
    <w:p w14:paraId="0BBBB07C">
      <w:pPr>
        <w:ind w:firstLine="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确保服务模式符合现行远程医疗监管政策，必要时寻求医疗机构合作来获得合法资质背书。组建法规合规团队，密切关注远程医疗相关政策动态，一旦监管有新要求，及时调整业务范围或申请所需牌照。例如，限定AI测肤功能在健康建议范围内，超出部分由执业医师在线提供，以符合法规边界。提前与监管部门沟通，了解政策导向，做到运营合规且有前瞻性地应对政策变化。</w:t>
      </w:r>
    </w:p>
    <w:p w14:paraId="3950B1F1">
      <w:pPr>
        <w:rPr>
          <w:rFonts w:hint="eastAsia" w:asciiTheme="minorEastAsia" w:hAnsiTheme="minorEastAsia" w:eastAsiaTheme="minorEastAsia" w:cstheme="minorEastAsia"/>
          <w:sz w:val="21"/>
          <w:szCs w:val="21"/>
        </w:rPr>
      </w:pPr>
    </w:p>
    <w:p w14:paraId="7C7AE593">
      <w:pPr>
        <w:rPr>
          <w:rFonts w:hint="eastAsia"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rPr>
        <w:t>数据合规风险：</w:t>
      </w:r>
    </w:p>
    <w:p w14:paraId="4520E8AF">
      <w:pPr>
        <w:ind w:firstLine="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平台需要存储和处理大量用户个人敏感信息（如医疗健康数据），这需要严格遵守国家数据安全与隐私保护法规。一旦在数据收集、使用上出现违规（例如未经用户同意使用数据、数据跨境传输不合规等），将面临法律处罚和信任危机。</w:t>
      </w:r>
    </w:p>
    <w:p w14:paraId="1B206EEF">
      <w:pPr>
        <w:rPr>
          <w:rFonts w:hint="eastAsia"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rPr>
        <w:t>应对策略：</w:t>
      </w:r>
    </w:p>
    <w:p w14:paraId="353A57FA">
      <w:pPr>
        <w:ind w:firstLine="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严格依照《个人信息保护法》等法规要求设计产品的数据流程。落实最小化收集原则，获取用户授权同意后方可收集必要信息，并明确告知用途和保存期限。建立数据合规审查制度，定期由法律顾问和安全专家评估平台的数据处理流程是否符合最新法规要求。对于敏感健康数据，坚持国内存储、不跨境传输，必要时在服务器和数据库层面采取脱敏和访问权限控制措施，防范数据滥用风险。通过获得权威的数据安全合规认证，向用户传递平台在隐私保护方面的可靠性。</w:t>
      </w:r>
    </w:p>
    <w:p w14:paraId="36099839">
      <w:pPr>
        <w:rPr>
          <w:rFonts w:hint="eastAsia" w:asciiTheme="minorEastAsia" w:hAnsiTheme="minorEastAsia" w:eastAsiaTheme="minorEastAsia" w:cstheme="minorEastAsia"/>
          <w:sz w:val="21"/>
          <w:szCs w:val="21"/>
        </w:rPr>
      </w:pPr>
    </w:p>
    <w:p w14:paraId="04978FBF">
      <w:pPr>
        <w:rPr>
          <w:rFonts w:hint="eastAsia" w:ascii="Times New Roman Regular" w:hAnsi="Times New Roman Regular" w:cs="Times New Roman Regular" w:eastAsiaTheme="minorEastAsia"/>
          <w:sz w:val="21"/>
          <w:szCs w:val="21"/>
        </w:rPr>
      </w:pPr>
    </w:p>
    <w:p w14:paraId="37CF2AB2">
      <w:pPr>
        <w:rPr>
          <w:rFonts w:hint="eastAsia"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rPr>
        <w:t>AI医疗技术合规风险：</w:t>
      </w:r>
    </w:p>
    <w:p w14:paraId="14137929">
      <w:pPr>
        <w:ind w:firstLine="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人工智能用于医疗健康领域的监管框架仍在发展中。国家对AI辅助诊断、医疗器械软件以及化妆品功效宣称的监管政策可能不断完善和调整。例如，将来AI诊断算法可能被纳入医疗器械监管，或对线上皮肤健康建议提出更严格的法律责任要求。政策的突发变化可能对业务模式和运营成本带来冲击。</w:t>
      </w:r>
    </w:p>
    <w:p w14:paraId="3127BB55">
      <w:pPr>
        <w:rPr>
          <w:rFonts w:hint="eastAsia"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rPr>
        <w:t>应对策略：</w:t>
      </w:r>
    </w:p>
    <w:p w14:paraId="1B41E308">
      <w:pPr>
        <w:ind w:firstLine="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保持对政策环境的敏感度，持续投入资源确保合规运营 。具体措施包括：积极参与行业协会和标准制定研讨，及时获取监管动向；在产品功能上预留灵活性，一旦法规要求改变（例如需要增加人工复核环节），能够快速调整产品流程。内部建立AI算法伦理和合规审核机制，确保算法决策有据可依、结果可解释，从而满足潜在的监管审查要求。与此同时，与监管机构保持沟通，寻求指导意见，在合法合规的前提下推进AI创新应用，做到既不违规又不错失技术发展机遇。</w:t>
      </w:r>
    </w:p>
    <w:p w14:paraId="30F57202">
      <w:pPr>
        <w:rPr>
          <w:rFonts w:hint="eastAsia" w:asciiTheme="minorEastAsia" w:hAnsiTheme="minorEastAsia" w:eastAsiaTheme="minorEastAsia" w:cstheme="minorEastAsia"/>
          <w:sz w:val="21"/>
          <w:szCs w:val="21"/>
        </w:rPr>
      </w:pPr>
    </w:p>
    <w:p w14:paraId="274894EC">
      <w:pPr>
        <w:rPr>
          <w:rFonts w:hint="eastAsia" w:asciiTheme="minorEastAsia" w:hAnsiTheme="minorEastAsia" w:eastAsiaTheme="minorEastAsia" w:cstheme="minorEastAsia"/>
          <w:sz w:val="21"/>
          <w:szCs w:val="21"/>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41FB8EA1">
        <w:tc>
          <w:tcPr>
            <w:tcW w:w="2840" w:type="dxa"/>
            <w:shd w:val="clear" w:color="auto" w:fill="4874CB" w:themeFill="accent1"/>
          </w:tcPr>
          <w:p w14:paraId="1D048DD9">
            <w:pPr>
              <w:spacing w:line="480" w:lineRule="auto"/>
              <w:jc w:val="center"/>
              <w:rPr>
                <w:rFonts w:hint="eastAsia" w:asciiTheme="minorEastAsia" w:hAnsiTheme="minorEastAsia" w:eastAsiaTheme="minorEastAsia" w:cstheme="minorEastAsia"/>
                <w:color w:val="FFFFFF" w:themeColor="background1"/>
                <w:sz w:val="21"/>
                <w:szCs w:val="21"/>
                <w:lang w:val="en-US" w:eastAsia="zh-CN"/>
                <w14:textFill>
                  <w14:solidFill>
                    <w14:schemeClr w14:val="bg1"/>
                  </w14:solidFill>
                </w14:textFill>
              </w:rPr>
            </w:pPr>
            <w:r>
              <w:rPr>
                <w:rFonts w:hint="eastAsia" w:asciiTheme="minorEastAsia" w:hAnsiTheme="minorEastAsia" w:eastAsiaTheme="minorEastAsia" w:cstheme="minorEastAsia"/>
                <w:color w:val="FFFFFF" w:themeColor="background1"/>
                <w:sz w:val="21"/>
                <w:szCs w:val="21"/>
                <w:lang w:val="en-US" w:eastAsia="zh-CN"/>
                <w14:textFill>
                  <w14:solidFill>
                    <w14:schemeClr w14:val="bg1"/>
                  </w14:solidFill>
                </w14:textFill>
              </w:rPr>
              <w:t>风险类别</w:t>
            </w:r>
          </w:p>
        </w:tc>
        <w:tc>
          <w:tcPr>
            <w:tcW w:w="2841" w:type="dxa"/>
            <w:shd w:val="clear" w:color="auto" w:fill="4874CB" w:themeFill="accent1"/>
          </w:tcPr>
          <w:p w14:paraId="7B92A679">
            <w:pPr>
              <w:spacing w:line="480" w:lineRule="auto"/>
              <w:jc w:val="center"/>
              <w:rPr>
                <w:rFonts w:hint="eastAsia" w:asciiTheme="minorEastAsia" w:hAnsiTheme="minorEastAsia" w:eastAsiaTheme="minorEastAsia" w:cstheme="minorEastAsia"/>
                <w:color w:val="FFFFFF" w:themeColor="background1"/>
                <w:sz w:val="21"/>
                <w:szCs w:val="21"/>
                <w:lang w:val="en-US" w:eastAsia="zh-CN"/>
                <w14:textFill>
                  <w14:solidFill>
                    <w14:schemeClr w14:val="bg1"/>
                  </w14:solidFill>
                </w14:textFill>
              </w:rPr>
            </w:pPr>
            <w:r>
              <w:rPr>
                <w:rFonts w:hint="eastAsia" w:asciiTheme="minorEastAsia" w:hAnsiTheme="minorEastAsia" w:eastAsiaTheme="minorEastAsia" w:cstheme="minorEastAsia"/>
                <w:color w:val="FFFFFF" w:themeColor="background1"/>
                <w:sz w:val="21"/>
                <w:szCs w:val="21"/>
                <w:lang w:val="en-US" w:eastAsia="zh-CN"/>
                <w14:textFill>
                  <w14:solidFill>
                    <w14:schemeClr w14:val="bg1"/>
                  </w14:solidFill>
                </w14:textFill>
              </w:rPr>
              <w:t>主要风险</w:t>
            </w:r>
          </w:p>
        </w:tc>
        <w:tc>
          <w:tcPr>
            <w:tcW w:w="2841" w:type="dxa"/>
            <w:shd w:val="clear" w:color="auto" w:fill="4874CB" w:themeFill="accent1"/>
          </w:tcPr>
          <w:p w14:paraId="12C3F5BA">
            <w:pPr>
              <w:spacing w:line="480" w:lineRule="auto"/>
              <w:jc w:val="center"/>
              <w:rPr>
                <w:rFonts w:hint="eastAsia" w:asciiTheme="minorEastAsia" w:hAnsiTheme="minorEastAsia" w:eastAsiaTheme="minorEastAsia" w:cstheme="minorEastAsia"/>
                <w:color w:val="FFFFFF" w:themeColor="background1"/>
                <w:sz w:val="21"/>
                <w:szCs w:val="21"/>
                <w:lang w:val="en-US" w:eastAsia="zh-CN"/>
                <w14:textFill>
                  <w14:solidFill>
                    <w14:schemeClr w14:val="bg1"/>
                  </w14:solidFill>
                </w14:textFill>
              </w:rPr>
            </w:pPr>
            <w:r>
              <w:rPr>
                <w:rFonts w:hint="eastAsia" w:asciiTheme="minorEastAsia" w:hAnsiTheme="minorEastAsia" w:eastAsiaTheme="minorEastAsia" w:cstheme="minorEastAsia"/>
                <w:color w:val="FFFFFF" w:themeColor="background1"/>
                <w:sz w:val="21"/>
                <w:szCs w:val="21"/>
                <w:lang w:val="en-US" w:eastAsia="zh-CN"/>
                <w14:textFill>
                  <w14:solidFill>
                    <w14:schemeClr w14:val="bg1"/>
                  </w14:solidFill>
                </w14:textFill>
              </w:rPr>
              <w:t>应对策略</w:t>
            </w:r>
          </w:p>
        </w:tc>
      </w:tr>
      <w:tr w14:paraId="37CF01C0">
        <w:tc>
          <w:tcPr>
            <w:tcW w:w="2840" w:type="dxa"/>
          </w:tcPr>
          <w:p w14:paraId="75038AF6">
            <w:pPr>
              <w:spacing w:line="360" w:lineRule="auto"/>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技术风险</w:t>
            </w:r>
          </w:p>
        </w:tc>
        <w:tc>
          <w:tcPr>
            <w:tcW w:w="2841" w:type="dxa"/>
          </w:tcPr>
          <w:p w14:paraId="1FB5BCCC">
            <w:pPr>
              <w:spacing w:line="360" w:lineRule="auto"/>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rPr>
              <w:t>AI模型训练难度大、迭代成本高</w:t>
            </w:r>
          </w:p>
        </w:tc>
        <w:tc>
          <w:tcPr>
            <w:tcW w:w="2841" w:type="dxa"/>
          </w:tcPr>
          <w:p w14:paraId="0C921296">
            <w:pPr>
              <w:pStyle w:val="7"/>
              <w:keepNext w:val="0"/>
              <w:keepLines w:val="0"/>
              <w:widowControl/>
              <w:suppressLineNumbers w:val="0"/>
              <w:spacing w:before="0" w:beforeAutospacing="1" w:after="0" w:afterAutospacing="1" w:line="360" w:lineRule="auto"/>
              <w:ind w:left="0" w:right="0"/>
              <w:rPr>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加大研发投入与技术合作，引入高水平AI人才优化模型效率，采用预训练模型等降低资源需求</w:t>
            </w:r>
          </w:p>
        </w:tc>
      </w:tr>
      <w:tr w14:paraId="27884027">
        <w:tc>
          <w:tcPr>
            <w:tcW w:w="2840" w:type="dxa"/>
            <w:shd w:val="clear" w:color="auto" w:fill="B5C7EA" w:themeFill="accent1" w:themeFillTint="66"/>
          </w:tcPr>
          <w:p w14:paraId="6EE7F319">
            <w:pPr>
              <w:spacing w:line="360" w:lineRule="auto"/>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技术风险</w:t>
            </w:r>
          </w:p>
        </w:tc>
        <w:tc>
          <w:tcPr>
            <w:tcW w:w="2841" w:type="dxa"/>
            <w:shd w:val="clear" w:color="auto" w:fill="B5C7EA" w:themeFill="accent1" w:themeFillTint="66"/>
          </w:tcPr>
          <w:p w14:paraId="12662692">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数据隐私安全漏洞导致声誉受损</w:t>
            </w:r>
          </w:p>
        </w:tc>
        <w:tc>
          <w:tcPr>
            <w:tcW w:w="2841" w:type="dxa"/>
            <w:shd w:val="clear" w:color="auto" w:fill="B5C7EA" w:themeFill="accent1" w:themeFillTint="66"/>
          </w:tcPr>
          <w:p w14:paraId="20679F81">
            <w:pPr>
              <w:pStyle w:val="7"/>
              <w:keepNext w:val="0"/>
              <w:keepLines w:val="0"/>
              <w:widowControl/>
              <w:suppressLineNumbers w:val="0"/>
              <w:spacing w:before="0" w:beforeAutospacing="1" w:after="0" w:afterAutospacing="1" w:line="360" w:lineRule="auto"/>
              <w:ind w:left="0" w:right="0"/>
              <w:rPr>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实施严格的数据加密和权限控制，通过合规认证，定期安全审计，确保用户隐私万无一失</w:t>
            </w:r>
          </w:p>
        </w:tc>
      </w:tr>
      <w:tr w14:paraId="0582910F">
        <w:tc>
          <w:tcPr>
            <w:tcW w:w="2840" w:type="dxa"/>
          </w:tcPr>
          <w:p w14:paraId="4448D63F">
            <w:pPr>
              <w:spacing w:line="36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技术风险</w:t>
            </w:r>
          </w:p>
        </w:tc>
        <w:tc>
          <w:tcPr>
            <w:tcW w:w="2841" w:type="dxa"/>
          </w:tcPr>
          <w:p w14:paraId="478DB428">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系统维护和升级成本高</w:t>
            </w:r>
          </w:p>
        </w:tc>
        <w:tc>
          <w:tcPr>
            <w:tcW w:w="2841" w:type="dxa"/>
          </w:tcPr>
          <w:p w14:paraId="40B124B3">
            <w:pPr>
              <w:pStyle w:val="7"/>
              <w:keepNext w:val="0"/>
              <w:keepLines w:val="0"/>
              <w:widowControl/>
              <w:suppressLineNumbers w:val="0"/>
              <w:spacing w:before="0" w:beforeAutospacing="1" w:after="0" w:afterAutospacing="1" w:line="360" w:lineRule="auto"/>
              <w:ind w:left="0" w:right="0"/>
              <w:rPr>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采用模块化架构和自动化运维降低维护工作量，聚焦核心功能优化迭代，提高投入产出比</w:t>
            </w:r>
          </w:p>
        </w:tc>
      </w:tr>
      <w:tr w14:paraId="5141F6BB">
        <w:tc>
          <w:tcPr>
            <w:tcW w:w="2840" w:type="dxa"/>
            <w:shd w:val="clear" w:color="auto" w:fill="B5C7EA" w:themeFill="accent1" w:themeFillTint="66"/>
          </w:tcPr>
          <w:p w14:paraId="4EDF3E26">
            <w:pPr>
              <w:spacing w:line="360" w:lineRule="auto"/>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市场风险</w:t>
            </w:r>
          </w:p>
        </w:tc>
        <w:tc>
          <w:tcPr>
            <w:tcW w:w="2841" w:type="dxa"/>
            <w:shd w:val="clear" w:color="auto" w:fill="B5C7EA" w:themeFill="accent1" w:themeFillTint="66"/>
          </w:tcPr>
          <w:p w14:paraId="6956E46C">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用户认知不足，信任建立缓慢 </w:t>
            </w:r>
          </w:p>
        </w:tc>
        <w:tc>
          <w:tcPr>
            <w:tcW w:w="2841" w:type="dxa"/>
            <w:shd w:val="clear" w:color="auto" w:fill="B5C7EA" w:themeFill="accent1" w:themeFillTint="66"/>
          </w:tcPr>
          <w:p w14:paraId="5DFCB72A">
            <w:pPr>
              <w:pStyle w:val="7"/>
              <w:keepNext w:val="0"/>
              <w:keepLines w:val="0"/>
              <w:widowControl/>
              <w:suppressLineNumbers w:val="0"/>
              <w:spacing w:before="0" w:beforeAutospacing="1" w:after="0" w:afterAutospacing="1" w:line="360" w:lineRule="auto"/>
              <w:ind w:left="0" w:right="0"/>
              <w:rPr>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加强市场教育与科普宣传，提供免费试用降低门槛，借助专家背书和成功案例逐步培养用户信任</w:t>
            </w:r>
          </w:p>
        </w:tc>
      </w:tr>
      <w:tr w14:paraId="2C27C7BC">
        <w:tc>
          <w:tcPr>
            <w:tcW w:w="2840" w:type="dxa"/>
          </w:tcPr>
          <w:p w14:paraId="54BA5964">
            <w:pPr>
              <w:spacing w:line="36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市场风险</w:t>
            </w:r>
          </w:p>
        </w:tc>
        <w:tc>
          <w:tcPr>
            <w:tcW w:w="2841" w:type="dxa"/>
          </w:tcPr>
          <w:p w14:paraId="26DFC0F4">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行业竞争加剧，巨头进入威胁</w:t>
            </w:r>
          </w:p>
        </w:tc>
        <w:tc>
          <w:tcPr>
            <w:tcW w:w="2841" w:type="dxa"/>
          </w:tcPr>
          <w:p w14:paraId="5D993818">
            <w:pPr>
              <w:pStyle w:val="7"/>
              <w:keepNext w:val="0"/>
              <w:keepLines w:val="0"/>
              <w:widowControl/>
              <w:suppressLineNumbers w:val="0"/>
              <w:spacing w:before="0" w:beforeAutospacing="1" w:after="0" w:afterAutospacing="1" w:line="360" w:lineRule="auto"/>
              <w:ind w:left="0" w:right="0"/>
              <w:rPr>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巩固技术壁垒和专业服务差异化优势，持续创新保持先发优势；同时灵活寻求与巨头合作，借力其流量优势</w:t>
            </w:r>
          </w:p>
        </w:tc>
      </w:tr>
      <w:tr w14:paraId="2FA2A786">
        <w:tc>
          <w:tcPr>
            <w:tcW w:w="2840" w:type="dxa"/>
            <w:shd w:val="clear" w:color="auto" w:fill="B5C7EA" w:themeFill="accent1" w:themeFillTint="66"/>
          </w:tcPr>
          <w:p w14:paraId="068D9F0F">
            <w:pPr>
              <w:spacing w:line="36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市场风险</w:t>
            </w:r>
          </w:p>
        </w:tc>
        <w:tc>
          <w:tcPr>
            <w:tcW w:w="2841" w:type="dxa"/>
            <w:shd w:val="clear" w:color="auto" w:fill="B5C7EA" w:themeFill="accent1" w:themeFillTint="66"/>
          </w:tcPr>
          <w:p w14:paraId="12833E92">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技术方案易被模仿 </w:t>
            </w:r>
          </w:p>
        </w:tc>
        <w:tc>
          <w:tcPr>
            <w:tcW w:w="2841" w:type="dxa"/>
            <w:shd w:val="clear" w:color="auto" w:fill="B5C7EA" w:themeFill="accent1" w:themeFillTint="66"/>
          </w:tcPr>
          <w:p w14:paraId="7B319CE7">
            <w:pPr>
              <w:spacing w:line="360" w:lineRule="auto"/>
              <w:rPr>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通过数据累积形成AI模型训练优势，提升算法精度；申请专利和知识产权保护，巩固领先地位</w:t>
            </w:r>
          </w:p>
        </w:tc>
      </w:tr>
      <w:tr w14:paraId="162A5F1F">
        <w:tc>
          <w:tcPr>
            <w:tcW w:w="2840" w:type="dxa"/>
          </w:tcPr>
          <w:p w14:paraId="621CD395">
            <w:pPr>
              <w:spacing w:line="36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市场风险</w:t>
            </w:r>
          </w:p>
        </w:tc>
        <w:tc>
          <w:tcPr>
            <w:tcW w:w="2841" w:type="dxa"/>
          </w:tcPr>
          <w:p w14:paraId="12C17D75">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平台黏性不足，用户留存率低</w:t>
            </w:r>
          </w:p>
        </w:tc>
        <w:tc>
          <w:tcPr>
            <w:tcW w:w="2841" w:type="dxa"/>
          </w:tcPr>
          <w:p w14:paraId="301DE6D9">
            <w:pPr>
              <w:pStyle w:val="7"/>
              <w:keepNext w:val="0"/>
              <w:keepLines w:val="0"/>
              <w:widowControl/>
              <w:suppressLineNumbers w:val="0"/>
              <w:spacing w:before="0" w:beforeAutospacing="1" w:after="0" w:afterAutospacing="1" w:line="360" w:lineRule="auto"/>
              <w:ind w:left="0" w:right="0"/>
              <w:rPr>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丰富社区互动功能（如打卡挑战等 ），提供个性化内容和提醒机制，增强用户粘性与活跃度</w:t>
            </w:r>
          </w:p>
        </w:tc>
      </w:tr>
      <w:tr w14:paraId="7FDD862F">
        <w:tc>
          <w:tcPr>
            <w:tcW w:w="2840" w:type="dxa"/>
            <w:shd w:val="clear" w:color="auto" w:fill="B5C7EA" w:themeFill="accent1" w:themeFillTint="66"/>
          </w:tcPr>
          <w:p w14:paraId="496E51ED">
            <w:pPr>
              <w:spacing w:line="360" w:lineRule="auto"/>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合规风险</w:t>
            </w:r>
          </w:p>
        </w:tc>
        <w:tc>
          <w:tcPr>
            <w:tcW w:w="2841" w:type="dxa"/>
            <w:shd w:val="clear" w:color="auto" w:fill="B5C7EA" w:themeFill="accent1" w:themeFillTint="66"/>
          </w:tcPr>
          <w:p w14:paraId="2D4FDBBF">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远程医疗政策变化导致业务受限</w:t>
            </w:r>
          </w:p>
        </w:tc>
        <w:tc>
          <w:tcPr>
            <w:tcW w:w="2841" w:type="dxa"/>
            <w:shd w:val="clear" w:color="auto" w:fill="B5C7EA" w:themeFill="accent1" w:themeFillTint="66"/>
          </w:tcPr>
          <w:p w14:paraId="77B4C885">
            <w:pPr>
              <w:pStyle w:val="7"/>
              <w:keepNext w:val="0"/>
              <w:keepLines w:val="0"/>
              <w:widowControl/>
              <w:suppressLineNumbers w:val="0"/>
              <w:spacing w:before="0" w:beforeAutospacing="1" w:after="0" w:afterAutospacing="1" w:line="360" w:lineRule="auto"/>
              <w:ind w:left="0" w:right="0"/>
              <w:rPr>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提前获取医疗相关资质或合作医院资源，密切跟踪政策动向，及时调整业务模式以符合新规</w:t>
            </w:r>
          </w:p>
        </w:tc>
      </w:tr>
      <w:tr w14:paraId="499AA449">
        <w:tc>
          <w:tcPr>
            <w:tcW w:w="2840" w:type="dxa"/>
          </w:tcPr>
          <w:p w14:paraId="6F05FBE3">
            <w:pPr>
              <w:spacing w:line="36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合规风险</w:t>
            </w:r>
          </w:p>
        </w:tc>
        <w:tc>
          <w:tcPr>
            <w:tcW w:w="2841" w:type="dxa"/>
          </w:tcPr>
          <w:p w14:paraId="66813F32">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数据及隐私法规合规风险</w:t>
            </w:r>
          </w:p>
        </w:tc>
        <w:tc>
          <w:tcPr>
            <w:tcW w:w="2841" w:type="dxa"/>
          </w:tcPr>
          <w:p w14:paraId="51B955D9">
            <w:pPr>
              <w:pStyle w:val="7"/>
              <w:keepNext w:val="0"/>
              <w:keepLines w:val="0"/>
              <w:widowControl/>
              <w:suppressLineNumbers w:val="0"/>
              <w:spacing w:before="0" w:beforeAutospacing="1" w:after="0" w:afterAutospacing="1" w:line="360" w:lineRule="auto"/>
              <w:ind w:left="0" w:right="0"/>
              <w:rPr>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严格遵守个人信息保护法等法规，完善数据治理和合规审查机制，确保数据收集和使用合法合规</w:t>
            </w:r>
          </w:p>
        </w:tc>
      </w:tr>
      <w:tr w14:paraId="7AFF8E03">
        <w:tc>
          <w:tcPr>
            <w:tcW w:w="2840" w:type="dxa"/>
            <w:shd w:val="clear" w:color="auto" w:fill="B5C7EA" w:themeFill="accent1" w:themeFillTint="66"/>
          </w:tcPr>
          <w:p w14:paraId="2C185E6E">
            <w:pPr>
              <w:spacing w:line="36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合规风险</w:t>
            </w:r>
          </w:p>
        </w:tc>
        <w:tc>
          <w:tcPr>
            <w:tcW w:w="2841" w:type="dxa"/>
            <w:shd w:val="clear" w:color="auto" w:fill="B5C7EA" w:themeFill="accent1" w:themeFillTint="66"/>
          </w:tcPr>
          <w:p w14:paraId="1136B56C">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AI医疗监管要求变化 </w:t>
            </w:r>
          </w:p>
        </w:tc>
        <w:tc>
          <w:tcPr>
            <w:tcW w:w="2841" w:type="dxa"/>
            <w:shd w:val="clear" w:color="auto" w:fill="B5C7EA" w:themeFill="accent1" w:themeFillTint="66"/>
          </w:tcPr>
          <w:p w14:paraId="0CABA687">
            <w:pPr>
              <w:pStyle w:val="7"/>
              <w:keepNext w:val="0"/>
              <w:keepLines w:val="0"/>
              <w:widowControl/>
              <w:suppressLineNumbers w:val="0"/>
              <w:spacing w:before="0" w:beforeAutospacing="1" w:after="0" w:afterAutospacing="1" w:line="360" w:lineRule="auto"/>
              <w:ind w:left="0" w:right="0"/>
              <w:rPr>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建立内部合规团队监控法规，保持产品灵活可调；积极参与行业标准制定，确保技术演进与监管同步</w:t>
            </w:r>
          </w:p>
        </w:tc>
      </w:tr>
    </w:tbl>
    <w:p w14:paraId="1EF26050">
      <w:pPr>
        <w:rPr>
          <w:rFonts w:hint="eastAsia" w:ascii="Times New Roman Regular" w:hAnsi="Times New Roman Regular" w:cs="Times New Roman Regular" w:eastAsiaTheme="minorEastAsia"/>
          <w:sz w:val="21"/>
          <w:szCs w:val="21"/>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AEF" w:usb1="C0007841" w:usb2="00000009" w:usb3="00000000" w:csb0="400001FF" w:csb1="FFFF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Times New Roman (标题 CS)">
    <w:altName w:val="Times New Roman"/>
    <w:panose1 w:val="020B0604020202020204"/>
    <w:charset w:val="86"/>
    <w:family w:val="roman"/>
    <w:pitch w:val="default"/>
    <w:sig w:usb0="00000000" w:usb1="00000000" w:usb2="00000000" w:usb3="00000000" w:csb0="00000000" w:csb1="00000000"/>
  </w:font>
  <w:font w:name="Times New Roman (正文 CS 字体)">
    <w:altName w:val="Times New Roman"/>
    <w:panose1 w:val="020B0604020202020204"/>
    <w:charset w:val="86"/>
    <w:family w:val="roman"/>
    <w:pitch w:val="default"/>
    <w:sig w:usb0="00000000" w:usb1="00000000" w:usb2="00000000" w:usb3="00000000" w:csb0="00000000" w:csb1="00000000"/>
  </w:font>
  <w:font w:name="Times New Roman Regular">
    <w:panose1 w:val="02020603050405020304"/>
    <w:charset w:val="00"/>
    <w:family w:val="auto"/>
    <w:pitch w:val="default"/>
    <w:sig w:usb0="E0002AEF" w:usb1="C0007841" w:usb2="00000009" w:usb3="00000000" w:csb0="400001FF" w:csb1="FFFF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微软雅黑">
    <w:altName w:val="汉仪旗黑"/>
    <w:panose1 w:val="020B0503020204020204"/>
    <w:charset w:val="86"/>
    <w:family w:val="auto"/>
    <w:pitch w:val="default"/>
    <w:sig w:usb0="00000000" w:usb1="00000000" w:usb2="00000016" w:usb3="00000000" w:csb0="0004001F" w:csb1="00000000"/>
  </w:font>
  <w:font w:name="汉仪旗黑">
    <w:panose1 w:val="00020600040101010101"/>
    <w:charset w:val="86"/>
    <w:family w:val="auto"/>
    <w:pitch w:val="default"/>
    <w:sig w:usb0="A00002BF" w:usb1="1ACF7CFA" w:usb2="00000016"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0C6C5C"/>
    <w:multiLevelType w:val="multilevel"/>
    <w:tmpl w:val="0C0C6C5C"/>
    <w:lvl w:ilvl="0" w:tentative="0">
      <w:start w:val="2"/>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11C31B71"/>
    <w:multiLevelType w:val="multilevel"/>
    <w:tmpl w:val="11C31B71"/>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1E4F759A"/>
    <w:multiLevelType w:val="multilevel"/>
    <w:tmpl w:val="1E4F759A"/>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
    <w:nsid w:val="3D8137CE"/>
    <w:multiLevelType w:val="multilevel"/>
    <w:tmpl w:val="3D8137CE"/>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
    <w:nsid w:val="690A7CD8"/>
    <w:multiLevelType w:val="multilevel"/>
    <w:tmpl w:val="690A7CD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742E673C"/>
    <w:multiLevelType w:val="multilevel"/>
    <w:tmpl w:val="742E673C"/>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5"/>
  </w:num>
  <w:num w:numId="2">
    <w:abstractNumId w:val="2"/>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IyMzk5Y2E5N2JjYTRhODE0NDZkOWFiYTRkNzlkM2YifQ=="/>
  </w:docVars>
  <w:rsids>
    <w:rsidRoot w:val="2F77AD33"/>
    <w:rsid w:val="2F77AD33"/>
    <w:rsid w:val="5FDA8EF3"/>
    <w:rsid w:val="6BFFE5B5"/>
    <w:rsid w:val="7BDCDDF6"/>
    <w:rsid w:val="AFDE9452"/>
    <w:rsid w:val="CCCC036B"/>
    <w:rsid w:val="FB6E8F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9" w:semiHidden="0" w:name="heading 3"/>
    <w:lsdException w:qFormat="1" w:unhideWhenUsed="0"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iPriority="99"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iPriority="99"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3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100" w:after="90" w:line="578" w:lineRule="auto"/>
      <w:outlineLvl w:val="0"/>
    </w:pPr>
    <w:rPr>
      <w:rFonts w:eastAsia="黑体" w:cs="Times New Roman"/>
      <w:b/>
      <w:bCs/>
      <w:kern w:val="44"/>
      <w:sz w:val="32"/>
      <w:szCs w:val="30"/>
    </w:rPr>
  </w:style>
  <w:style w:type="paragraph" w:styleId="3">
    <w:name w:val="heading 2"/>
    <w:basedOn w:val="1"/>
    <w:next w:val="1"/>
    <w:unhideWhenUsed/>
    <w:qFormat/>
    <w:uiPriority w:val="9"/>
    <w:pPr>
      <w:keepNext/>
      <w:keepLines/>
      <w:spacing w:line="416" w:lineRule="auto"/>
      <w:outlineLvl w:val="1"/>
    </w:pPr>
    <w:rPr>
      <w:rFonts w:eastAsia="黑体" w:cs="Times New Roman (标题 CS)"/>
      <w:b/>
      <w:bCs/>
      <w:sz w:val="30"/>
      <w:szCs w:val="32"/>
    </w:rPr>
  </w:style>
  <w:style w:type="paragraph" w:styleId="4">
    <w:name w:val="heading 3"/>
    <w:basedOn w:val="1"/>
    <w:qFormat/>
    <w:uiPriority w:val="9"/>
    <w:pPr>
      <w:widowControl/>
      <w:snapToGrid w:val="0"/>
      <w:jc w:val="left"/>
      <w:outlineLvl w:val="2"/>
    </w:pPr>
    <w:rPr>
      <w:rFonts w:cs="宋体"/>
      <w:b/>
      <w:bCs/>
      <w:kern w:val="0"/>
      <w:szCs w:val="27"/>
    </w:rPr>
  </w:style>
  <w:style w:type="paragraph" w:styleId="5">
    <w:name w:val="heading 4"/>
    <w:basedOn w:val="1"/>
    <w:next w:val="3"/>
    <w:qFormat/>
    <w:uiPriority w:val="9"/>
    <w:pPr>
      <w:widowControl/>
      <w:spacing w:before="100" w:beforeAutospacing="1" w:after="100" w:afterAutospacing="1"/>
      <w:jc w:val="left"/>
      <w:outlineLvl w:val="3"/>
    </w:pPr>
    <w:rPr>
      <w:rFonts w:eastAsia="黑体" w:cs="宋体"/>
      <w:b/>
      <w:bCs/>
      <w:kern w:val="0"/>
      <w:sz w:val="32"/>
    </w:rPr>
  </w:style>
  <w:style w:type="character" w:default="1" w:styleId="10">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6">
    <w:name w:val="annotation text"/>
    <w:basedOn w:val="1"/>
    <w:semiHidden/>
    <w:unhideWhenUsed/>
    <w:uiPriority w:val="99"/>
    <w:pPr>
      <w:jc w:val="left"/>
    </w:p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table" w:styleId="9">
    <w:name w:val="Table Grid"/>
    <w:basedOn w:val="8"/>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annotation reference"/>
    <w:basedOn w:val="10"/>
    <w:semiHidden/>
    <w:unhideWhenUsed/>
    <w:uiPriority w:val="99"/>
    <w:rPr>
      <w:sz w:val="21"/>
      <w:szCs w:val="21"/>
    </w:rPr>
  </w:style>
  <w:style w:type="paragraph" w:styleId="12">
    <w:name w:val="List Paragraph"/>
    <w:basedOn w:val="1"/>
    <w:qFormat/>
    <w:uiPriority w:val="34"/>
    <w:pPr>
      <w:ind w:left="720"/>
      <w:contextualSpacing/>
    </w:pPr>
  </w:style>
  <w:style w:type="character" w:customStyle="1" w:styleId="13">
    <w:name w:val="ng-star-inserted"/>
    <w:basedOn w:val="10"/>
    <w:uiPriority w:val="0"/>
  </w:style>
  <w:style w:type="paragraph" w:styleId="14">
    <w:name w:val="No Spacing"/>
    <w:qFormat/>
    <w:uiPriority w:val="1"/>
    <w:pPr>
      <w:widowControl w:val="0"/>
      <w:jc w:val="both"/>
    </w:pPr>
    <w:rPr>
      <w:rFonts w:ascii="Times New Roman" w:hAnsi="Times New Roman" w:eastAsia="宋体" w:cs="Times New Roman (正文 CS 字体)"/>
      <w:kern w:val="2"/>
      <w:sz w:val="24"/>
      <w:szCs w:val="24"/>
      <w:lang w:val="en-US" w:eastAsia="zh-CN" w:bidi="ar-SA"/>
    </w:rPr>
  </w:style>
  <w:style w:type="paragraph" w:customStyle="1" w:styleId="15">
    <w:name w:val="ng-star-inserted1"/>
    <w:basedOn w:val="1"/>
    <w:uiPriority w:val="0"/>
    <w:pPr>
      <w:widowControl/>
      <w:spacing w:before="100" w:beforeAutospacing="1" w:after="100" w:afterAutospacing="1"/>
      <w:jc w:val="left"/>
    </w:pPr>
    <w:rPr>
      <w:rFonts w:ascii="宋体" w:hAnsi="宋体" w:cs="宋体"/>
      <w:kern w:val="0"/>
    </w:rPr>
  </w:style>
  <w:style w:type="paragraph" w:customStyle="1" w:styleId="16">
    <w:name w:val="ng-star-inserted2"/>
    <w:basedOn w:val="1"/>
    <w:uiPriority w:val="0"/>
    <w:pPr>
      <w:widowControl/>
      <w:spacing w:before="100" w:beforeAutospacing="1" w:after="100" w:afterAutospacing="1"/>
      <w:ind w:firstLine="0" w:firstLineChars="0"/>
      <w:jc w:val="left"/>
    </w:pPr>
    <w:rPr>
      <w:rFonts w:ascii="宋体" w:hAnsi="宋体" w:cs="宋体"/>
      <w:kern w:val="0"/>
    </w:rPr>
  </w:style>
</w:styles>
</file>

<file path=word/_rels/document.xml.rels><?xml version="1.0" encoding="UTF-8" standalone="yes"?>
<Relationships xmlns="http://schemas.openxmlformats.org/package/2006/relationships"><Relationship Id="rId9" Type="http://schemas.openxmlformats.org/officeDocument/2006/relationships/diagramLayout" Target="diagrams/layout1.xml"/><Relationship Id="rId8" Type="http://schemas.openxmlformats.org/officeDocument/2006/relationships/diagramData" Target="diagrams/data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5.png"/><Relationship Id="rId27" Type="http://schemas.microsoft.com/office/2007/relationships/diagramDrawing" Target="diagrams/drawing4.xml"/><Relationship Id="rId26" Type="http://schemas.openxmlformats.org/officeDocument/2006/relationships/diagramColors" Target="diagrams/colors4.xml"/><Relationship Id="rId25" Type="http://schemas.openxmlformats.org/officeDocument/2006/relationships/diagramQuickStyle" Target="diagrams/quickStyle4.xml"/><Relationship Id="rId24" Type="http://schemas.openxmlformats.org/officeDocument/2006/relationships/diagramLayout" Target="diagrams/layout4.xml"/><Relationship Id="rId23" Type="http://schemas.openxmlformats.org/officeDocument/2006/relationships/diagramData" Target="diagrams/data4.xml"/><Relationship Id="rId22" Type="http://schemas.microsoft.com/office/2007/relationships/diagramDrawing" Target="diagrams/drawing3.xml"/><Relationship Id="rId21" Type="http://schemas.openxmlformats.org/officeDocument/2006/relationships/diagramColors" Target="diagrams/colors3.xml"/><Relationship Id="rId20" Type="http://schemas.openxmlformats.org/officeDocument/2006/relationships/diagramQuickStyle" Target="diagrams/quickStyle3.xml"/><Relationship Id="rId2" Type="http://schemas.openxmlformats.org/officeDocument/2006/relationships/settings" Target="settings.xml"/><Relationship Id="rId19" Type="http://schemas.openxmlformats.org/officeDocument/2006/relationships/diagramLayout" Target="diagrams/layout3.xml"/><Relationship Id="rId18" Type="http://schemas.openxmlformats.org/officeDocument/2006/relationships/diagramData" Target="diagrams/data3.xml"/><Relationship Id="rId17" Type="http://schemas.microsoft.com/office/2007/relationships/diagramDrawing" Target="diagrams/drawing2.xml"/><Relationship Id="rId16" Type="http://schemas.openxmlformats.org/officeDocument/2006/relationships/diagramColors" Target="diagrams/colors2.xml"/><Relationship Id="rId15" Type="http://schemas.openxmlformats.org/officeDocument/2006/relationships/diagramQuickStyle" Target="diagrams/quickStyle2.xml"/><Relationship Id="rId14" Type="http://schemas.openxmlformats.org/officeDocument/2006/relationships/diagramLayout" Target="diagrams/layout2.xml"/><Relationship Id="rId13" Type="http://schemas.openxmlformats.org/officeDocument/2006/relationships/diagramData" Target="diagrams/data2.xml"/><Relationship Id="rId12" Type="http://schemas.microsoft.com/office/2007/relationships/diagramDrawing" Target="diagrams/drawing1.xml"/><Relationship Id="rId11" Type="http://schemas.openxmlformats.org/officeDocument/2006/relationships/diagramColors" Target="diagrams/colors1.xml"/><Relationship Id="rId10" Type="http://schemas.openxmlformats.org/officeDocument/2006/relationships/diagramQuickStyle" Target="diagrams/quickStyle1.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37D76233-2C52-45E9-94E8-FBDCAFC81AF1}" type="doc">
      <dgm:prSet loTypeId="cycle" loCatId="cycle" qsTypeId="urn:microsoft.com/office/officeart/2005/8/quickstyle/simple1" qsCatId="simple" csTypeId="urn:microsoft.com/office/officeart/2005/8/colors/accent1_2" csCatId="accent1" phldr="0"/>
      <dgm:spPr/>
      <dgm:t>
        <a:bodyPr/>
        <a:p>
          <a:endParaRPr lang="zh-CN" altLang="en-US"/>
        </a:p>
      </dgm:t>
    </dgm:pt>
    <dgm:pt modelId="{8E2A460B-45D3-4E20-A31D-4AFE676F0DDA}">
      <dgm:prSet phldrT="[文本]" phldr="0" custT="0"/>
      <dgm:spPr/>
      <dgm:t>
        <a:bodyPr vert="horz" wrap="square"/>
        <a:p>
          <a:pPr>
            <a:lnSpc>
              <a:spcPct val="100000"/>
            </a:lnSpc>
            <a:spcBef>
              <a:spcPct val="0"/>
            </a:spcBef>
            <a:spcAft>
              <a:spcPct val="35000"/>
            </a:spcAft>
          </a:pPr>
          <a:r>
            <a:rPr lang="en-US" altLang="zh-CN"/>
            <a:t>Skin</a:t>
          </a:r>
          <a:r>
            <a:rPr lang="en-US" altLang="zh-CN"/>
            <a:t/>
          </a:r>
          <a:endParaRPr lang="en-US" altLang="zh-CN"/>
        </a:p>
        <a:p>
          <a:pPr>
            <a:lnSpc>
              <a:spcPct val="100000"/>
            </a:lnSpc>
            <a:spcBef>
              <a:spcPct val="0"/>
            </a:spcBef>
            <a:spcAft>
              <a:spcPct val="35000"/>
            </a:spcAft>
          </a:pPr>
          <a:r>
            <a:rPr lang="en-US" altLang="zh-CN"/>
            <a:t>Advi</a:t>
          </a:r>
          <a:r>
            <a:rPr lang="en-US" altLang="zh-CN"/>
            <a:t>s</a:t>
          </a:r>
          <a:r>
            <a:rPr lang="en-US" altLang="zh-CN"/>
            <a:t>or</a:t>
          </a:r>
          <a:r>
            <a:rPr lang="en-US" altLang="zh-CN"/>
            <a:t/>
          </a:r>
          <a:endParaRPr lang="en-US" altLang="zh-CN"/>
        </a:p>
      </dgm:t>
    </dgm:pt>
    <dgm:pt modelId="{40722E6B-70D7-49DD-BCDB-C5F5A53BB946}" cxnId="{D2757504-8DF1-4B87-9C00-37E05C6ABAB6}" type="parTrans">
      <dgm:prSet/>
      <dgm:spPr/>
      <dgm:t>
        <a:bodyPr/>
        <a:p>
          <a:endParaRPr lang="zh-CN" altLang="en-US"/>
        </a:p>
      </dgm:t>
    </dgm:pt>
    <dgm:pt modelId="{AC66A5CC-387D-4D7B-8E90-1B8214C2F261}" cxnId="{D2757504-8DF1-4B87-9C00-37E05C6ABAB6}" type="sibTrans">
      <dgm:prSet/>
      <dgm:spPr/>
      <dgm:t>
        <a:bodyPr/>
        <a:p>
          <a:endParaRPr lang="zh-CN" altLang="en-US"/>
        </a:p>
      </dgm:t>
    </dgm:pt>
    <dgm:pt modelId="{ECE2948F-862B-4CC3-B6BC-3E6415C7F5DD}">
      <dgm:prSet phldrT="[文本]" phldr="0" custT="0"/>
      <dgm:spPr/>
      <dgm:t>
        <a:bodyPr vert="horz" wrap="square"/>
        <a:p>
          <a:pPr>
            <a:lnSpc>
              <a:spcPct val="100000"/>
            </a:lnSpc>
            <a:spcBef>
              <a:spcPct val="0"/>
            </a:spcBef>
            <a:spcAft>
              <a:spcPct val="35000"/>
            </a:spcAft>
          </a:pPr>
          <a:r>
            <a:rPr lang="en-US" altLang="zh-CN"/>
            <a:t>AI </a:t>
          </a:r>
          <a:r>
            <a:rPr lang="en-US" altLang="zh-CN"/>
            <a:t>skin</a:t>
          </a:r>
          <a:endParaRPr lang="en-US" altLang="zh-CN"/>
        </a:p>
        <a:p>
          <a:pPr>
            <a:lnSpc>
              <a:spcPct val="100000"/>
            </a:lnSpc>
            <a:spcBef>
              <a:spcPct val="0"/>
            </a:spcBef>
            <a:spcAft>
              <a:spcPct val="35000"/>
            </a:spcAft>
          </a:pPr>
          <a:r>
            <a:rPr lang="en-US" altLang="zh-CN"/>
            <a:t>analysis</a:t>
          </a:r>
          <a:r>
            <a:rPr lang="zh-CN" altLang="en-US"/>
            <a:t/>
          </a:r>
          <a:endParaRPr lang="zh-CN" altLang="en-US"/>
        </a:p>
      </dgm:t>
    </dgm:pt>
    <dgm:pt modelId="{055F34F9-26B5-46B6-B947-B5718EF53A09}" cxnId="{AE29348B-1461-4880-A6EA-361579232964}" type="parTrans">
      <dgm:prSet/>
      <dgm:spPr/>
      <dgm:t>
        <a:bodyPr/>
        <a:p>
          <a:endParaRPr lang="zh-CN" altLang="en-US"/>
        </a:p>
      </dgm:t>
    </dgm:pt>
    <dgm:pt modelId="{4116C939-0673-4613-8FA7-CB6FE7258301}" cxnId="{AE29348B-1461-4880-A6EA-361579232964}" type="sibTrans">
      <dgm:prSet/>
      <dgm:spPr/>
      <dgm:t>
        <a:bodyPr/>
        <a:p>
          <a:endParaRPr lang="zh-CN" altLang="en-US"/>
        </a:p>
      </dgm:t>
    </dgm:pt>
    <dgm:pt modelId="{D34FE5D7-7525-4D59-ABC9-3998105E634C}">
      <dgm:prSet phldrT="[文本]" phldr="0" custT="0"/>
      <dgm:spPr/>
      <dgm:t>
        <a:bodyPr vert="horz" wrap="square"/>
        <a:p>
          <a:pPr>
            <a:lnSpc>
              <a:spcPct val="100000"/>
            </a:lnSpc>
            <a:spcBef>
              <a:spcPct val="0"/>
            </a:spcBef>
            <a:spcAft>
              <a:spcPct val="35000"/>
            </a:spcAft>
          </a:pPr>
          <a:r>
            <a:rPr lang="en-US" altLang="zh-CN"/>
            <a:t>Online</a:t>
          </a:r>
          <a:endParaRPr lang="en-US" altLang="zh-CN"/>
        </a:p>
        <a:p>
          <a:pPr>
            <a:lnSpc>
              <a:spcPct val="100000"/>
            </a:lnSpc>
            <a:spcBef>
              <a:spcPct val="0"/>
            </a:spcBef>
            <a:spcAft>
              <a:spcPct val="35000"/>
            </a:spcAft>
          </a:pPr>
          <a:r>
            <a:rPr lang="en-US" altLang="zh-CN"/>
            <a:t>consultation</a:t>
          </a:r>
          <a:r>
            <a:rPr lang="zh-CN" altLang="en-US"/>
            <a:t/>
          </a:r>
          <a:endParaRPr lang="zh-CN" altLang="en-US"/>
        </a:p>
      </dgm:t>
    </dgm:pt>
    <dgm:pt modelId="{A96BE2DD-535A-47FD-A010-195BD3C076B9}" cxnId="{43AC70B7-6995-45D6-87C0-13D989BEA632}" type="parTrans">
      <dgm:prSet/>
      <dgm:spPr/>
      <dgm:t>
        <a:bodyPr/>
        <a:p>
          <a:endParaRPr lang="zh-CN" altLang="en-US"/>
        </a:p>
      </dgm:t>
    </dgm:pt>
    <dgm:pt modelId="{75EA9321-EAFA-4AF6-8313-8107E8EB3526}" cxnId="{43AC70B7-6995-45D6-87C0-13D989BEA632}" type="sibTrans">
      <dgm:prSet/>
      <dgm:spPr/>
      <dgm:t>
        <a:bodyPr/>
        <a:p>
          <a:endParaRPr lang="zh-CN" altLang="en-US"/>
        </a:p>
      </dgm:t>
    </dgm:pt>
    <dgm:pt modelId="{E17F1310-B4AD-4B57-8D9B-BF776721EA77}">
      <dgm:prSet phldrT="[文本]" phldr="0" custT="0"/>
      <dgm:spPr/>
      <dgm:t>
        <a:bodyPr vert="horz" wrap="square"/>
        <a:p>
          <a:pPr>
            <a:lnSpc>
              <a:spcPct val="100000"/>
            </a:lnSpc>
            <a:spcBef>
              <a:spcPct val="0"/>
            </a:spcBef>
            <a:spcAft>
              <a:spcPct val="35000"/>
            </a:spcAft>
          </a:pPr>
          <a:r>
            <a:rPr lang="en-US" altLang="zh-CN"/>
            <a:t>E-commerce</a:t>
          </a:r>
          <a:endParaRPr lang="en-US" altLang="zh-CN"/>
        </a:p>
        <a:p>
          <a:pPr>
            <a:lnSpc>
              <a:spcPct val="100000"/>
            </a:lnSpc>
            <a:spcBef>
              <a:spcPct val="0"/>
            </a:spcBef>
            <a:spcAft>
              <a:spcPct val="35000"/>
            </a:spcAft>
          </a:pPr>
          <a:r>
            <a:rPr lang="en-US" altLang="zh-CN"/>
            <a:t>shopping</a:t>
          </a:r>
          <a:endParaRPr lang="en-US" altLang="zh-CN"/>
        </a:p>
        <a:p>
          <a:pPr>
            <a:lnSpc>
              <a:spcPct val="100000"/>
            </a:lnSpc>
            <a:spcBef>
              <a:spcPct val="0"/>
            </a:spcBef>
            <a:spcAft>
              <a:spcPct val="35000"/>
            </a:spcAft>
          </a:pPr>
          <a:r>
            <a:rPr lang="en-US" altLang="zh-CN"/>
            <a:t>guidance</a:t>
          </a:r>
          <a:r>
            <a:rPr lang="zh-CN" altLang="en-US"/>
            <a:t/>
          </a:r>
          <a:endParaRPr lang="zh-CN" altLang="en-US"/>
        </a:p>
      </dgm:t>
    </dgm:pt>
    <dgm:pt modelId="{6BAC1755-6217-4715-99C2-D1422148265D}" cxnId="{62635DFE-FA8E-45ED-A06A-5491B7689AA6}" type="parTrans">
      <dgm:prSet/>
      <dgm:spPr/>
      <dgm:t>
        <a:bodyPr/>
        <a:p>
          <a:endParaRPr lang="zh-CN" altLang="en-US"/>
        </a:p>
      </dgm:t>
    </dgm:pt>
    <dgm:pt modelId="{925984A4-8E6F-4D28-B868-DBAB08F4BD28}" cxnId="{62635DFE-FA8E-45ED-A06A-5491B7689AA6}" type="sibTrans">
      <dgm:prSet/>
      <dgm:spPr/>
      <dgm:t>
        <a:bodyPr/>
        <a:p>
          <a:endParaRPr lang="zh-CN" altLang="en-US"/>
        </a:p>
      </dgm:t>
    </dgm:pt>
    <dgm:pt modelId="{468FA009-1E87-4539-85FA-5C28B78DD6E9}">
      <dgm:prSet phldrT="[文本]" phldr="0" custT="0"/>
      <dgm:spPr/>
      <dgm:t>
        <a:bodyPr vert="horz" wrap="square"/>
        <a:p>
          <a:pPr>
            <a:lnSpc>
              <a:spcPct val="100000"/>
            </a:lnSpc>
            <a:spcBef>
              <a:spcPct val="0"/>
            </a:spcBef>
            <a:spcAft>
              <a:spcPct val="35000"/>
            </a:spcAft>
          </a:pPr>
          <a:r>
            <a:rPr lang="en-US" altLang="zh-CN"/>
            <a:t>Data</a:t>
          </a:r>
          <a:endParaRPr lang="en-US" altLang="zh-CN"/>
        </a:p>
        <a:p>
          <a:pPr>
            <a:lnSpc>
              <a:spcPct val="100000"/>
            </a:lnSpc>
            <a:spcBef>
              <a:spcPct val="0"/>
            </a:spcBef>
            <a:spcAft>
              <a:spcPct val="35000"/>
            </a:spcAft>
          </a:pPr>
          <a:r>
            <a:rPr lang="en-US" altLang="zh-CN"/>
            <a:t>loop</a:t>
          </a:r>
          <a:r>
            <a:rPr lang="zh-CN" altLang="en-US"/>
            <a:t/>
          </a:r>
          <a:endParaRPr lang="zh-CN" altLang="en-US"/>
        </a:p>
      </dgm:t>
    </dgm:pt>
    <dgm:pt modelId="{F205FF88-2C9B-4658-BCAA-BEA6EB7393B2}" cxnId="{51360B82-18EE-44BA-909B-0D079B81C91D}" type="parTrans">
      <dgm:prSet/>
      <dgm:spPr/>
      <dgm:t>
        <a:bodyPr/>
        <a:p>
          <a:endParaRPr lang="zh-CN" altLang="en-US"/>
        </a:p>
      </dgm:t>
    </dgm:pt>
    <dgm:pt modelId="{B5C730DE-1181-420B-A78D-195E914DCCF5}" cxnId="{51360B82-18EE-44BA-909B-0D079B81C91D}" type="sibTrans">
      <dgm:prSet/>
      <dgm:spPr/>
      <dgm:t>
        <a:bodyPr/>
        <a:p>
          <a:endParaRPr lang="zh-CN" altLang="en-US"/>
        </a:p>
      </dgm:t>
    </dgm:pt>
    <dgm:pt modelId="{06E635C1-9CAD-4C18-A430-77DCFD9968FA}">
      <dgm:prSet phldr="0" custT="0"/>
      <dgm:spPr/>
      <dgm:t>
        <a:bodyPr vert="horz" wrap="square"/>
        <a:p>
          <a:pPr>
            <a:lnSpc>
              <a:spcPct val="100000"/>
            </a:lnSpc>
            <a:spcBef>
              <a:spcPct val="0"/>
            </a:spcBef>
            <a:spcAft>
              <a:spcPct val="35000"/>
            </a:spcAft>
          </a:pPr>
          <a:r>
            <a:rPr lang="en-US"/>
            <a:t>Brand</a:t>
          </a:r>
          <a:endParaRPr lang="en-US"/>
        </a:p>
        <a:p>
          <a:pPr>
            <a:lnSpc>
              <a:spcPct val="100000"/>
            </a:lnSpc>
            <a:spcBef>
              <a:spcPct val="0"/>
            </a:spcBef>
            <a:spcAft>
              <a:spcPct val="35000"/>
            </a:spcAft>
          </a:pPr>
          <a:r>
            <a:rPr lang="en-US"/>
            <a:t>cooperat</a:t>
          </a:r>
          <a:r>
            <a:rPr lang="en-US"/>
            <a:t>ion</a:t>
          </a:r>
          <a:r>
            <a:rPr altLang="en-US"/>
            <a:t/>
          </a:r>
          <a:endParaRPr altLang="en-US"/>
        </a:p>
      </dgm:t>
    </dgm:pt>
    <dgm:pt modelId="{AEE9D021-261E-457D-AA64-1955226C5FDD}" cxnId="{E0368CAE-8343-4C43-8408-75377DBB7F95}" type="parTrans">
      <dgm:prSet/>
      <dgm:spPr/>
    </dgm:pt>
    <dgm:pt modelId="{CE2F5F6B-5974-4793-80FD-336DEDF9778E}" cxnId="{E0368CAE-8343-4C43-8408-75377DBB7F95}" type="sibTrans">
      <dgm:prSet/>
      <dgm:spPr/>
    </dgm:pt>
    <dgm:pt modelId="{5E6C8220-0862-4925-B911-B092760ABB15}">
      <dgm:prSet phldr="0" custT="0"/>
      <dgm:spPr/>
      <dgm:t>
        <a:bodyPr vert="horz" wrap="square"/>
        <a:p>
          <a:pPr>
            <a:lnSpc>
              <a:spcPct val="100000"/>
            </a:lnSpc>
            <a:spcBef>
              <a:spcPct val="0"/>
            </a:spcBef>
            <a:spcAft>
              <a:spcPct val="35000"/>
            </a:spcAft>
          </a:pPr>
          <a:r>
            <a:rPr lang="en-US"/>
            <a:t>User</a:t>
          </a:r>
          <a:endParaRPr lang="en-US"/>
        </a:p>
        <a:p>
          <a:pPr>
            <a:lnSpc>
              <a:spcPct val="100000"/>
            </a:lnSpc>
            <a:spcBef>
              <a:spcPct val="0"/>
            </a:spcBef>
            <a:spcAft>
              <a:spcPct val="35000"/>
            </a:spcAft>
          </a:pPr>
          <a:r>
            <a:rPr lang="en-US"/>
            <a:t>payment</a:t>
          </a:r>
          <a:r>
            <a:rPr altLang="en-US"/>
            <a:t/>
          </a:r>
          <a:endParaRPr altLang="en-US"/>
        </a:p>
      </dgm:t>
    </dgm:pt>
    <dgm:pt modelId="{43127014-934A-4B81-9C82-75373A3CF9FD}" cxnId="{A5E428ED-B3BF-475B-97C6-EE80DF413F14}" type="parTrans">
      <dgm:prSet/>
      <dgm:spPr/>
    </dgm:pt>
    <dgm:pt modelId="{17B5CA6A-1EFF-4F2D-BBF4-5BFE19C38EAC}" cxnId="{A5E428ED-B3BF-475B-97C6-EE80DF413F14}" type="sibTrans">
      <dgm:prSet/>
      <dgm:spPr/>
    </dgm:pt>
    <dgm:pt modelId="{D5B7622F-17AC-467C-B10C-28C38C38C350}" type="pres">
      <dgm:prSet presAssocID="{37D76233-2C52-45E9-94E8-FBDCAFC81AF1}" presName="Name0" presStyleCnt="0">
        <dgm:presLayoutVars>
          <dgm:chMax val="1"/>
          <dgm:dir/>
          <dgm:animLvl val="ctr"/>
          <dgm:resizeHandles val="exact"/>
        </dgm:presLayoutVars>
      </dgm:prSet>
      <dgm:spPr/>
    </dgm:pt>
    <dgm:pt modelId="{BADECBB5-37EA-4668-8A2F-BD2C2902F22A}" type="pres">
      <dgm:prSet presAssocID="{8E2A460B-45D3-4E20-A31D-4AFE676F0DDA}" presName="centerShape" presStyleLbl="node0" presStyleIdx="0" presStyleCnt="1"/>
      <dgm:spPr/>
    </dgm:pt>
    <dgm:pt modelId="{C2E7DEFD-0505-42BF-AE13-B6483BF86572}" type="pres">
      <dgm:prSet presAssocID="{ECE2948F-862B-4CC3-B6BC-3E6415C7F5DD}" presName="node" presStyleLbl="node1" presStyleIdx="0" presStyleCnt="6">
        <dgm:presLayoutVars>
          <dgm:bulletEnabled val="1"/>
        </dgm:presLayoutVars>
      </dgm:prSet>
      <dgm:spPr/>
    </dgm:pt>
    <dgm:pt modelId="{45046E67-FA41-4C32-9E33-BDDDFBBF1D6A}" type="pres">
      <dgm:prSet presAssocID="{ECE2948F-862B-4CC3-B6BC-3E6415C7F5DD}" presName="dummy" presStyleCnt="0"/>
      <dgm:spPr/>
    </dgm:pt>
    <dgm:pt modelId="{F3596884-C09F-4C70-900E-D61864BED5F1}" type="pres">
      <dgm:prSet presAssocID="{4116C939-0673-4613-8FA7-CB6FE7258301}" presName="sibTrans" presStyleLbl="sibTrans2D1" presStyleIdx="0" presStyleCnt="6"/>
      <dgm:spPr/>
    </dgm:pt>
    <dgm:pt modelId="{44F31994-0027-4DC3-B39E-FEE01FB1A852}" type="pres">
      <dgm:prSet presAssocID="{D34FE5D7-7525-4D59-ABC9-3998105E634C}" presName="node" presStyleLbl="node1" presStyleIdx="1" presStyleCnt="6">
        <dgm:presLayoutVars>
          <dgm:bulletEnabled val="1"/>
        </dgm:presLayoutVars>
      </dgm:prSet>
      <dgm:spPr/>
    </dgm:pt>
    <dgm:pt modelId="{C6A1073C-AEB6-41D2-8257-B02F52AE6460}" type="pres">
      <dgm:prSet presAssocID="{D34FE5D7-7525-4D59-ABC9-3998105E634C}" presName="dummy" presStyleCnt="0"/>
      <dgm:spPr/>
    </dgm:pt>
    <dgm:pt modelId="{15715456-3418-4DF0-AF3A-DA59307B110D}" type="pres">
      <dgm:prSet presAssocID="{75EA9321-EAFA-4AF6-8313-8107E8EB3526}" presName="sibTrans" presStyleLbl="sibTrans2D1" presStyleIdx="1" presStyleCnt="6"/>
      <dgm:spPr/>
    </dgm:pt>
    <dgm:pt modelId="{0DA4B7DF-BD6B-46E8-940A-69050C019BB3}" type="pres">
      <dgm:prSet presAssocID="{E17F1310-B4AD-4B57-8D9B-BF776721EA77}" presName="node" presStyleLbl="node1" presStyleIdx="2" presStyleCnt="6">
        <dgm:presLayoutVars>
          <dgm:bulletEnabled val="1"/>
        </dgm:presLayoutVars>
      </dgm:prSet>
      <dgm:spPr/>
    </dgm:pt>
    <dgm:pt modelId="{9268D1C0-A139-4893-A300-CF509D15352B}" type="pres">
      <dgm:prSet presAssocID="{E17F1310-B4AD-4B57-8D9B-BF776721EA77}" presName="dummy" presStyleCnt="0"/>
      <dgm:spPr/>
    </dgm:pt>
    <dgm:pt modelId="{EBDCA107-8C73-4044-AC95-50DA28B759A8}" type="pres">
      <dgm:prSet presAssocID="{925984A4-8E6F-4D28-B868-DBAB08F4BD28}" presName="sibTrans" presStyleLbl="sibTrans2D1" presStyleIdx="2" presStyleCnt="6"/>
      <dgm:spPr/>
    </dgm:pt>
    <dgm:pt modelId="{F539A410-44AA-4A02-9F1B-997DD2B71E87}" type="pres">
      <dgm:prSet presAssocID="{468FA009-1E87-4539-85FA-5C28B78DD6E9}" presName="node" presStyleLbl="node1" presStyleIdx="3" presStyleCnt="6">
        <dgm:presLayoutVars>
          <dgm:bulletEnabled val="1"/>
        </dgm:presLayoutVars>
      </dgm:prSet>
      <dgm:spPr/>
    </dgm:pt>
    <dgm:pt modelId="{2B016566-AAE3-46FD-A114-7C13E71734EF}" type="pres">
      <dgm:prSet presAssocID="{468FA009-1E87-4539-85FA-5C28B78DD6E9}" presName="dummy" presStyleCnt="0"/>
      <dgm:spPr/>
    </dgm:pt>
    <dgm:pt modelId="{B5FF6E04-452A-4146-97F4-3BC94EB5BB87}" type="pres">
      <dgm:prSet presAssocID="{B5C730DE-1181-420B-A78D-195E914DCCF5}" presName="sibTrans" presStyleLbl="sibTrans2D1" presStyleIdx="3" presStyleCnt="6"/>
      <dgm:spPr/>
    </dgm:pt>
    <dgm:pt modelId="{1CD2B677-D52C-4DAA-9673-8790A8F47AF0}" type="pres">
      <dgm:prSet presAssocID="{06E635C1-9CAD-4C18-A430-77DCFD9968FA}" presName="node" presStyleLbl="node1" presStyleIdx="4" presStyleCnt="6">
        <dgm:presLayoutVars>
          <dgm:bulletEnabled val="1"/>
        </dgm:presLayoutVars>
      </dgm:prSet>
      <dgm:spPr/>
    </dgm:pt>
    <dgm:pt modelId="{487E0854-8B72-4DED-977D-79AF01E45140}" type="pres">
      <dgm:prSet presAssocID="{06E635C1-9CAD-4C18-A430-77DCFD9968FA}" presName="dummy" presStyleCnt="0"/>
      <dgm:spPr/>
    </dgm:pt>
    <dgm:pt modelId="{A4942EF9-EA7C-4533-A9B5-5BF1D7DE2920}" type="pres">
      <dgm:prSet presAssocID="{CE2F5F6B-5974-4793-80FD-336DEDF9778E}" presName="sibTrans" presStyleLbl="sibTrans2D1" presStyleIdx="4" presStyleCnt="6"/>
      <dgm:spPr/>
    </dgm:pt>
    <dgm:pt modelId="{8F1CCC49-F3E0-4734-88AD-4045BA61FFA8}" type="pres">
      <dgm:prSet presAssocID="{5E6C8220-0862-4925-B911-B092760ABB15}" presName="node" presStyleLbl="node1" presStyleIdx="5" presStyleCnt="6">
        <dgm:presLayoutVars>
          <dgm:bulletEnabled val="1"/>
        </dgm:presLayoutVars>
      </dgm:prSet>
      <dgm:spPr/>
    </dgm:pt>
    <dgm:pt modelId="{11C7D698-AE3A-4492-A2BD-03545580267A}" type="pres">
      <dgm:prSet presAssocID="{5E6C8220-0862-4925-B911-B092760ABB15}" presName="dummy" presStyleCnt="0"/>
      <dgm:spPr/>
    </dgm:pt>
    <dgm:pt modelId="{9F132A80-084E-492A-BA35-66D47B7CA541}" type="pres">
      <dgm:prSet presAssocID="{17B5CA6A-1EFF-4F2D-BBF4-5BFE19C38EAC}" presName="sibTrans" presStyleLbl="sibTrans2D1" presStyleIdx="5" presStyleCnt="6"/>
      <dgm:spPr/>
    </dgm:pt>
  </dgm:ptLst>
  <dgm:cxnLst>
    <dgm:cxn modelId="{D2757504-8DF1-4B87-9C00-37E05C6ABAB6}" srcId="{37D76233-2C52-45E9-94E8-FBDCAFC81AF1}" destId="{8E2A460B-45D3-4E20-A31D-4AFE676F0DDA}" srcOrd="0" destOrd="0" parTransId="{40722E6B-70D7-49DD-BCDB-C5F5A53BB946}" sibTransId="{AC66A5CC-387D-4D7B-8E90-1B8214C2F261}"/>
    <dgm:cxn modelId="{AE29348B-1461-4880-A6EA-361579232964}" srcId="{8E2A460B-45D3-4E20-A31D-4AFE676F0DDA}" destId="{ECE2948F-862B-4CC3-B6BC-3E6415C7F5DD}" srcOrd="0" destOrd="0" parTransId="{055F34F9-26B5-46B6-B947-B5718EF53A09}" sibTransId="{4116C939-0673-4613-8FA7-CB6FE7258301}"/>
    <dgm:cxn modelId="{43AC70B7-6995-45D6-87C0-13D989BEA632}" srcId="{8E2A460B-45D3-4E20-A31D-4AFE676F0DDA}" destId="{D34FE5D7-7525-4D59-ABC9-3998105E634C}" srcOrd="1" destOrd="0" parTransId="{A96BE2DD-535A-47FD-A010-195BD3C076B9}" sibTransId="{75EA9321-EAFA-4AF6-8313-8107E8EB3526}"/>
    <dgm:cxn modelId="{62635DFE-FA8E-45ED-A06A-5491B7689AA6}" srcId="{8E2A460B-45D3-4E20-A31D-4AFE676F0DDA}" destId="{E17F1310-B4AD-4B57-8D9B-BF776721EA77}" srcOrd="2" destOrd="0" parTransId="{6BAC1755-6217-4715-99C2-D1422148265D}" sibTransId="{925984A4-8E6F-4D28-B868-DBAB08F4BD28}"/>
    <dgm:cxn modelId="{51360B82-18EE-44BA-909B-0D079B81C91D}" srcId="{8E2A460B-45D3-4E20-A31D-4AFE676F0DDA}" destId="{468FA009-1E87-4539-85FA-5C28B78DD6E9}" srcOrd="3" destOrd="0" parTransId="{F205FF88-2C9B-4658-BCAA-BEA6EB7393B2}" sibTransId="{B5C730DE-1181-420B-A78D-195E914DCCF5}"/>
    <dgm:cxn modelId="{E0368CAE-8343-4C43-8408-75377DBB7F95}" srcId="{8E2A460B-45D3-4E20-A31D-4AFE676F0DDA}" destId="{06E635C1-9CAD-4C18-A430-77DCFD9968FA}" srcOrd="4" destOrd="0" parTransId="{AEE9D021-261E-457D-AA64-1955226C5FDD}" sibTransId="{CE2F5F6B-5974-4793-80FD-336DEDF9778E}"/>
    <dgm:cxn modelId="{A5E428ED-B3BF-475B-97C6-EE80DF413F14}" srcId="{8E2A460B-45D3-4E20-A31D-4AFE676F0DDA}" destId="{5E6C8220-0862-4925-B911-B092760ABB15}" srcOrd="5" destOrd="0" parTransId="{43127014-934A-4B81-9C82-75373A3CF9FD}" sibTransId="{17B5CA6A-1EFF-4F2D-BBF4-5BFE19C38EAC}"/>
    <dgm:cxn modelId="{C26899A4-814F-43D2-9932-FDDEA01CA587}" type="presOf" srcId="{37D76233-2C52-45E9-94E8-FBDCAFC81AF1}" destId="{D5B7622F-17AC-467C-B10C-28C38C38C350}" srcOrd="0" destOrd="0" presId="urn:microsoft.com/office/officeart/2005/8/layout/radial6"/>
    <dgm:cxn modelId="{3A7C1EF8-807F-42A2-A643-58CC61D9B8C7}" type="presParOf" srcId="{D5B7622F-17AC-467C-B10C-28C38C38C350}" destId="{BADECBB5-37EA-4668-8A2F-BD2C2902F22A}" srcOrd="0" destOrd="0" presId="urn:microsoft.com/office/officeart/2005/8/layout/radial6"/>
    <dgm:cxn modelId="{9124B385-CEFD-4224-98F5-DA736ABF6E2E}" type="presOf" srcId="{8E2A460B-45D3-4E20-A31D-4AFE676F0DDA}" destId="{BADECBB5-37EA-4668-8A2F-BD2C2902F22A}" srcOrd="0" destOrd="0" presId="urn:microsoft.com/office/officeart/2005/8/layout/radial6"/>
    <dgm:cxn modelId="{BB4F73FE-798C-4068-B814-FF2C820A61B5}" type="presParOf" srcId="{D5B7622F-17AC-467C-B10C-28C38C38C350}" destId="{C2E7DEFD-0505-42BF-AE13-B6483BF86572}" srcOrd="1" destOrd="0" presId="urn:microsoft.com/office/officeart/2005/8/layout/radial6"/>
    <dgm:cxn modelId="{89864097-12EA-4DD9-921C-37EF93EC9589}" type="presOf" srcId="{ECE2948F-862B-4CC3-B6BC-3E6415C7F5DD}" destId="{C2E7DEFD-0505-42BF-AE13-B6483BF86572}" srcOrd="0" destOrd="0" presId="urn:microsoft.com/office/officeart/2005/8/layout/radial6"/>
    <dgm:cxn modelId="{F33744CA-6EA8-4728-AE80-CBE535288739}" type="presParOf" srcId="{D5B7622F-17AC-467C-B10C-28C38C38C350}" destId="{45046E67-FA41-4C32-9E33-BDDDFBBF1D6A}" srcOrd="2" destOrd="0" presId="urn:microsoft.com/office/officeart/2005/8/layout/radial6"/>
    <dgm:cxn modelId="{A9AE23B7-5D0F-4DDF-905A-14C3ECB182FF}" type="presParOf" srcId="{D5B7622F-17AC-467C-B10C-28C38C38C350}" destId="{F3596884-C09F-4C70-900E-D61864BED5F1}" srcOrd="3" destOrd="0" presId="urn:microsoft.com/office/officeart/2005/8/layout/radial6"/>
    <dgm:cxn modelId="{2164FCD9-4351-4985-ABF2-0ACCD8FCD324}" type="presOf" srcId="{4116C939-0673-4613-8FA7-CB6FE7258301}" destId="{F3596884-C09F-4C70-900E-D61864BED5F1}" srcOrd="0" destOrd="0" presId="urn:microsoft.com/office/officeart/2005/8/layout/radial6"/>
    <dgm:cxn modelId="{DC406BAF-07D0-4543-AFBA-3D2B7BAF9590}" type="presParOf" srcId="{D5B7622F-17AC-467C-B10C-28C38C38C350}" destId="{44F31994-0027-4DC3-B39E-FEE01FB1A852}" srcOrd="4" destOrd="0" presId="urn:microsoft.com/office/officeart/2005/8/layout/radial6"/>
    <dgm:cxn modelId="{F6057016-8711-4C40-B80D-7D6EF29725F5}" type="presOf" srcId="{D34FE5D7-7525-4D59-ABC9-3998105E634C}" destId="{44F31994-0027-4DC3-B39E-FEE01FB1A852}" srcOrd="0" destOrd="0" presId="urn:microsoft.com/office/officeart/2005/8/layout/radial6"/>
    <dgm:cxn modelId="{CDE82418-7D7D-4239-8502-F6768AAE84BA}" type="presParOf" srcId="{D5B7622F-17AC-467C-B10C-28C38C38C350}" destId="{C6A1073C-AEB6-41D2-8257-B02F52AE6460}" srcOrd="5" destOrd="0" presId="urn:microsoft.com/office/officeart/2005/8/layout/radial6"/>
    <dgm:cxn modelId="{71081C3D-A26E-444C-AE0E-346EC5727503}" type="presParOf" srcId="{D5B7622F-17AC-467C-B10C-28C38C38C350}" destId="{15715456-3418-4DF0-AF3A-DA59307B110D}" srcOrd="6" destOrd="0" presId="urn:microsoft.com/office/officeart/2005/8/layout/radial6"/>
    <dgm:cxn modelId="{7BA4C284-A01E-4A25-97E4-5DF3D572D1CC}" type="presOf" srcId="{75EA9321-EAFA-4AF6-8313-8107E8EB3526}" destId="{15715456-3418-4DF0-AF3A-DA59307B110D}" srcOrd="0" destOrd="0" presId="urn:microsoft.com/office/officeart/2005/8/layout/radial6"/>
    <dgm:cxn modelId="{2615F6C3-CB40-4C78-9489-6BD458156103}" type="presParOf" srcId="{D5B7622F-17AC-467C-B10C-28C38C38C350}" destId="{0DA4B7DF-BD6B-46E8-940A-69050C019BB3}" srcOrd="7" destOrd="0" presId="urn:microsoft.com/office/officeart/2005/8/layout/radial6"/>
    <dgm:cxn modelId="{0BCB3CBB-134B-4266-AB05-E5768FF7D3A3}" type="presOf" srcId="{E17F1310-B4AD-4B57-8D9B-BF776721EA77}" destId="{0DA4B7DF-BD6B-46E8-940A-69050C019BB3}" srcOrd="0" destOrd="0" presId="urn:microsoft.com/office/officeart/2005/8/layout/radial6"/>
    <dgm:cxn modelId="{904142EB-9682-44A2-A8C6-951FE13B63AF}" type="presParOf" srcId="{D5B7622F-17AC-467C-B10C-28C38C38C350}" destId="{9268D1C0-A139-4893-A300-CF509D15352B}" srcOrd="8" destOrd="0" presId="urn:microsoft.com/office/officeart/2005/8/layout/radial6"/>
    <dgm:cxn modelId="{C2D19EF9-D25F-4B04-A82E-091A7B711040}" type="presParOf" srcId="{D5B7622F-17AC-467C-B10C-28C38C38C350}" destId="{EBDCA107-8C73-4044-AC95-50DA28B759A8}" srcOrd="9" destOrd="0" presId="urn:microsoft.com/office/officeart/2005/8/layout/radial6"/>
    <dgm:cxn modelId="{2A204E4A-C3C9-4BDF-9455-E7BDDDA218A3}" type="presOf" srcId="{925984A4-8E6F-4D28-B868-DBAB08F4BD28}" destId="{EBDCA107-8C73-4044-AC95-50DA28B759A8}" srcOrd="0" destOrd="0" presId="urn:microsoft.com/office/officeart/2005/8/layout/radial6"/>
    <dgm:cxn modelId="{9A3610A9-1ABD-4049-B5F0-1982BE3A5840}" type="presParOf" srcId="{D5B7622F-17AC-467C-B10C-28C38C38C350}" destId="{F539A410-44AA-4A02-9F1B-997DD2B71E87}" srcOrd="10" destOrd="0" presId="urn:microsoft.com/office/officeart/2005/8/layout/radial6"/>
    <dgm:cxn modelId="{E6453FBC-3C2F-49D0-A681-85E19E3B0F10}" type="presOf" srcId="{468FA009-1E87-4539-85FA-5C28B78DD6E9}" destId="{F539A410-44AA-4A02-9F1B-997DD2B71E87}" srcOrd="0" destOrd="0" presId="urn:microsoft.com/office/officeart/2005/8/layout/radial6"/>
    <dgm:cxn modelId="{092446E8-05C8-4CB2-A5DD-613245D19597}" type="presParOf" srcId="{D5B7622F-17AC-467C-B10C-28C38C38C350}" destId="{2B016566-AAE3-46FD-A114-7C13E71734EF}" srcOrd="11" destOrd="0" presId="urn:microsoft.com/office/officeart/2005/8/layout/radial6"/>
    <dgm:cxn modelId="{7E69A438-E2C3-40D7-AF4B-568407015EE4}" type="presParOf" srcId="{D5B7622F-17AC-467C-B10C-28C38C38C350}" destId="{B5FF6E04-452A-4146-97F4-3BC94EB5BB87}" srcOrd="12" destOrd="0" presId="urn:microsoft.com/office/officeart/2005/8/layout/radial6"/>
    <dgm:cxn modelId="{DF43F7E8-5C2B-44A9-9964-8EAEA8901EE8}" type="presOf" srcId="{B5C730DE-1181-420B-A78D-195E914DCCF5}" destId="{B5FF6E04-452A-4146-97F4-3BC94EB5BB87}" srcOrd="0" destOrd="0" presId="urn:microsoft.com/office/officeart/2005/8/layout/radial6"/>
    <dgm:cxn modelId="{A6CB06C3-BC65-4120-9BB9-1AECCAD22DA7}" type="presParOf" srcId="{D5B7622F-17AC-467C-B10C-28C38C38C350}" destId="{1CD2B677-D52C-4DAA-9673-8790A8F47AF0}" srcOrd="13" destOrd="0" presId="urn:microsoft.com/office/officeart/2005/8/layout/radial6"/>
    <dgm:cxn modelId="{1AB0FCA3-132B-4CDD-8C2E-0F4503EB4F20}" type="presOf" srcId="{06E635C1-9CAD-4C18-A430-77DCFD9968FA}" destId="{1CD2B677-D52C-4DAA-9673-8790A8F47AF0}" srcOrd="0" destOrd="0" presId="urn:microsoft.com/office/officeart/2005/8/layout/radial6"/>
    <dgm:cxn modelId="{CED506FC-E627-4332-80F6-72A4960DE939}" type="presParOf" srcId="{D5B7622F-17AC-467C-B10C-28C38C38C350}" destId="{487E0854-8B72-4DED-977D-79AF01E45140}" srcOrd="14" destOrd="0" presId="urn:microsoft.com/office/officeart/2005/8/layout/radial6"/>
    <dgm:cxn modelId="{9B6C3FB6-52DB-4E2F-AFF6-8CDC649EA17D}" type="presParOf" srcId="{D5B7622F-17AC-467C-B10C-28C38C38C350}" destId="{A4942EF9-EA7C-4533-A9B5-5BF1D7DE2920}" srcOrd="15" destOrd="0" presId="urn:microsoft.com/office/officeart/2005/8/layout/radial6"/>
    <dgm:cxn modelId="{D02A9580-32CA-4781-B30B-349D0E41C866}" type="presOf" srcId="{CE2F5F6B-5974-4793-80FD-336DEDF9778E}" destId="{A4942EF9-EA7C-4533-A9B5-5BF1D7DE2920}" srcOrd="0" destOrd="0" presId="urn:microsoft.com/office/officeart/2005/8/layout/radial6"/>
    <dgm:cxn modelId="{42E01F9B-0FDE-4393-AE0F-2C0FA6C1F626}" type="presParOf" srcId="{D5B7622F-17AC-467C-B10C-28C38C38C350}" destId="{8F1CCC49-F3E0-4734-88AD-4045BA61FFA8}" srcOrd="16" destOrd="0" presId="urn:microsoft.com/office/officeart/2005/8/layout/radial6"/>
    <dgm:cxn modelId="{D90048B5-08DF-4C39-B178-34E5364BAB27}" type="presOf" srcId="{5E6C8220-0862-4925-B911-B092760ABB15}" destId="{8F1CCC49-F3E0-4734-88AD-4045BA61FFA8}" srcOrd="0" destOrd="0" presId="urn:microsoft.com/office/officeart/2005/8/layout/radial6"/>
    <dgm:cxn modelId="{255FDA4D-72A1-4F4F-A962-DCBAA6D59E80}" type="presParOf" srcId="{D5B7622F-17AC-467C-B10C-28C38C38C350}" destId="{11C7D698-AE3A-4492-A2BD-03545580267A}" srcOrd="17" destOrd="0" presId="urn:microsoft.com/office/officeart/2005/8/layout/radial6"/>
    <dgm:cxn modelId="{7783FD1B-A8F4-44EA-A7E4-0A17D45B84AD}" type="presParOf" srcId="{D5B7622F-17AC-467C-B10C-28C38C38C350}" destId="{9F132A80-084E-492A-BA35-66D47B7CA541}" srcOrd="18" destOrd="0" presId="urn:microsoft.com/office/officeart/2005/8/layout/radial6"/>
    <dgm:cxn modelId="{3D0E4B17-B41F-4093-8E52-E97541FCB271}" type="presOf" srcId="{17B5CA6A-1EFF-4F2D-BBF4-5BFE19C38EAC}" destId="{9F132A80-084E-492A-BA35-66D47B7CA541}" srcOrd="0" destOrd="0" presId="urn:microsoft.com/office/officeart/2005/8/layout/radial6"/>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0D7A932-F704-43F6-B7D3-632C594CAF0A}" type="doc">
      <dgm:prSet loTypeId="pyramid" loCatId="pyramid" qsTypeId="urn:microsoft.com/office/officeart/2005/8/quickstyle/simple3" qsCatId="simple" csTypeId="urn:microsoft.com/office/officeart/2005/8/colors/accent1_2" csCatId="accent1" phldr="0"/>
      <dgm:spPr/>
    </dgm:pt>
    <dgm:pt modelId="{5156A48C-64EB-4785-93CA-24B851F61470}">
      <dgm:prSet phldrT="[文本]" phldr="0" custT="1"/>
      <dgm:spPr/>
      <dgm:t>
        <a:bodyPr vert="horz" wrap="square"/>
        <a:p>
          <a:pPr>
            <a:lnSpc>
              <a:spcPct val="100000"/>
            </a:lnSpc>
            <a:spcBef>
              <a:spcPct val="0"/>
            </a:spcBef>
            <a:spcAft>
              <a:spcPct val="35000"/>
            </a:spcAft>
          </a:pPr>
          <a:r>
            <a:rPr lang="en-US" altLang="zh-CN" sz="900"/>
            <a:t>Online</a:t>
          </a:r>
          <a:endParaRPr lang="en-US" altLang="zh-CN" sz="900"/>
        </a:p>
        <a:p>
          <a:pPr>
            <a:lnSpc>
              <a:spcPct val="100000"/>
            </a:lnSpc>
            <a:spcBef>
              <a:spcPct val="0"/>
            </a:spcBef>
            <a:spcAft>
              <a:spcPct val="35000"/>
            </a:spcAft>
          </a:pPr>
          <a:r>
            <a:rPr lang="en-US" altLang="zh-CN" sz="900"/>
            <a:t>Consultation</a:t>
          </a:r>
          <a:endParaRPr lang="en-US" altLang="zh-CN" sz="900"/>
        </a:p>
        <a:p>
          <a:pPr>
            <a:lnSpc>
              <a:spcPct val="100000"/>
            </a:lnSpc>
            <a:spcBef>
              <a:spcPct val="0"/>
            </a:spcBef>
            <a:spcAft>
              <a:spcPct val="35000"/>
            </a:spcAft>
          </a:pPr>
          <a:r>
            <a:rPr lang="en-US" altLang="zh-CN" sz="900"/>
            <a:t>Fees</a:t>
          </a:r>
          <a:r>
            <a:rPr lang="zh-CN" altLang="en-US" sz="900"/>
            <a:t/>
          </a:r>
          <a:endParaRPr lang="zh-CN" altLang="en-US" sz="900"/>
        </a:p>
      </dgm:t>
    </dgm:pt>
    <dgm:pt modelId="{44DD142A-493F-4BD2-8BF5-566820976B60}" cxnId="{8A63D3C1-1D21-4B1A-B7C7-57986BC480B1}" type="parTrans">
      <dgm:prSet/>
      <dgm:spPr/>
    </dgm:pt>
    <dgm:pt modelId="{146660E0-8749-4313-9D04-2720140AB0DB}" cxnId="{8A63D3C1-1D21-4B1A-B7C7-57986BC480B1}" type="sibTrans">
      <dgm:prSet/>
      <dgm:spPr/>
    </dgm:pt>
    <dgm:pt modelId="{689B689F-02D1-462C-8E15-3D296F4269DF}">
      <dgm:prSet phldrT="[文本]" phldr="0" custT="0"/>
      <dgm:spPr/>
      <dgm:t>
        <a:bodyPr vert="horz" wrap="square"/>
        <a:p>
          <a:pPr>
            <a:lnSpc>
              <a:spcPct val="100000"/>
            </a:lnSpc>
            <a:spcBef>
              <a:spcPct val="0"/>
            </a:spcBef>
            <a:spcAft>
              <a:spcPct val="35000"/>
            </a:spcAft>
          </a:pPr>
          <a:r>
            <a:rPr lang="en-US" altLang="zh-CN"/>
            <a:t>Premium</a:t>
          </a:r>
          <a:endParaRPr lang="en-US" altLang="zh-CN"/>
        </a:p>
        <a:p>
          <a:pPr>
            <a:lnSpc>
              <a:spcPct val="100000"/>
            </a:lnSpc>
            <a:spcBef>
              <a:spcPct val="0"/>
            </a:spcBef>
            <a:spcAft>
              <a:spcPct val="35000"/>
            </a:spcAft>
          </a:pPr>
          <a:r>
            <a:rPr lang="en-US" altLang="zh-CN"/>
            <a:t>Membership</a:t>
          </a:r>
          <a:endParaRPr lang="en-US" altLang="zh-CN"/>
        </a:p>
        <a:p>
          <a:pPr>
            <a:lnSpc>
              <a:spcPct val="100000"/>
            </a:lnSpc>
            <a:spcBef>
              <a:spcPct val="0"/>
            </a:spcBef>
            <a:spcAft>
              <a:spcPct val="35000"/>
            </a:spcAft>
          </a:pPr>
          <a:r>
            <a:rPr lang="en-US" altLang="zh-CN"/>
            <a:t>Subscriptions</a:t>
          </a:r>
          <a:r>
            <a:rPr lang="zh-CN" altLang="en-US"/>
            <a:t/>
          </a:r>
          <a:endParaRPr lang="zh-CN" altLang="en-US"/>
        </a:p>
      </dgm:t>
    </dgm:pt>
    <dgm:pt modelId="{1C0C76FB-2BA4-44B3-A4CE-7105F9AAB60F}" cxnId="{B606E6BE-E5E4-495E-BD4C-41745D18ECF4}" type="parTrans">
      <dgm:prSet/>
      <dgm:spPr/>
    </dgm:pt>
    <dgm:pt modelId="{D350E28F-F50D-4107-86F2-D50420ABC3F3}" cxnId="{B606E6BE-E5E4-495E-BD4C-41745D18ECF4}" type="sibTrans">
      <dgm:prSet/>
      <dgm:spPr/>
    </dgm:pt>
    <dgm:pt modelId="{59CC0844-7971-42C4-A39E-A72C6724C7CB}">
      <dgm:prSet phldrT="[文本]" phldr="0" custT="0"/>
      <dgm:spPr/>
      <dgm:t>
        <a:bodyPr vert="horz" wrap="square"/>
        <a:p>
          <a:pPr>
            <a:lnSpc>
              <a:spcPct val="100000"/>
            </a:lnSpc>
            <a:spcBef>
              <a:spcPct val="0"/>
            </a:spcBef>
            <a:spcAft>
              <a:spcPct val="35000"/>
            </a:spcAft>
          </a:pPr>
          <a:r>
            <a:rPr lang="en-US" altLang="zh-CN"/>
            <a:t>E-</a:t>
          </a:r>
          <a:r>
            <a:rPr lang="en-US" altLang="zh-CN"/>
            <a:t>commerce  </a:t>
          </a:r>
          <a:r>
            <a:rPr lang="en-US" altLang="zh-CN"/>
            <a:t>Commission</a:t>
          </a:r>
          <a:r>
            <a:rPr lang="zh-CN" altLang="en-US"/>
            <a:t/>
          </a:r>
          <a:endParaRPr lang="zh-CN" altLang="en-US"/>
        </a:p>
      </dgm:t>
    </dgm:pt>
    <dgm:pt modelId="{8E9587C0-342B-40B9-AE35-1825D74A9715}" cxnId="{4309D497-13A0-4AB3-A6A2-F696CDC17984}" type="parTrans">
      <dgm:prSet/>
      <dgm:spPr/>
    </dgm:pt>
    <dgm:pt modelId="{530F4CAA-40D8-4C41-848E-AD1ECB08B082}" cxnId="{4309D497-13A0-4AB3-A6A2-F696CDC17984}" type="sibTrans">
      <dgm:prSet/>
      <dgm:spPr/>
    </dgm:pt>
    <dgm:pt modelId="{2353CA29-726A-476D-BB01-BF7C5B046DC4}">
      <dgm:prSet phldr="0" custT="0"/>
      <dgm:spPr/>
      <dgm:t>
        <a:bodyPr vert="horz" wrap="square"/>
        <a:p>
          <a:pPr>
            <a:lnSpc>
              <a:spcPct val="100000"/>
            </a:lnSpc>
            <a:spcBef>
              <a:spcPct val="0"/>
            </a:spcBef>
            <a:spcAft>
              <a:spcPct val="35000"/>
            </a:spcAft>
          </a:pPr>
          <a:r>
            <a:rPr altLang="en-US"/>
            <a:t>B</a:t>
          </a:r>
          <a:r>
            <a:rPr lang="en-US"/>
            <a:t>rand </a:t>
          </a:r>
          <a:r>
            <a:rPr lang="en-US"/>
            <a:t>Integration</a:t>
          </a:r>
          <a:endParaRPr lang="en-US"/>
        </a:p>
        <a:p>
          <a:pPr>
            <a:lnSpc>
              <a:spcPct val="100000"/>
            </a:lnSpc>
            <a:spcBef>
              <a:spcPct val="0"/>
            </a:spcBef>
            <a:spcAft>
              <a:spcPct val="35000"/>
            </a:spcAft>
          </a:pPr>
          <a:r>
            <a:rPr lang="en-US"/>
            <a:t>&amp;</a:t>
          </a:r>
          <a:endParaRPr lang="en-US"/>
        </a:p>
        <a:p>
          <a:pPr>
            <a:lnSpc>
              <a:spcPct val="100000"/>
            </a:lnSpc>
            <a:spcBef>
              <a:spcPct val="0"/>
            </a:spcBef>
            <a:spcAft>
              <a:spcPct val="35000"/>
            </a:spcAft>
          </a:pPr>
          <a:r>
            <a:rPr lang="en-US"/>
            <a:t>Marketing </a:t>
          </a:r>
          <a:r>
            <a:rPr lang="en-US"/>
            <a:t>Services</a:t>
          </a:r>
          <a:r>
            <a:rPr lang="en-US"/>
            <a:t/>
          </a:r>
          <a:endParaRPr lang="en-US"/>
        </a:p>
      </dgm:t>
    </dgm:pt>
    <dgm:pt modelId="{771A025A-6A14-4E01-B4B6-0D1F13ABFA28}" cxnId="{721805A9-2B1D-4BCA-A69A-0CB7DD06B7C7}" type="parTrans">
      <dgm:prSet/>
      <dgm:spPr/>
    </dgm:pt>
    <dgm:pt modelId="{78A62901-A984-437B-A056-4BFF7AE489A0}" cxnId="{721805A9-2B1D-4BCA-A69A-0CB7DD06B7C7}" type="sibTrans">
      <dgm:prSet/>
      <dgm:spPr/>
    </dgm:pt>
    <dgm:pt modelId="{8517F7A0-1402-4B99-AF53-F54425413A7C}" type="pres">
      <dgm:prSet presAssocID="{40D7A932-F704-43F6-B7D3-632C594CAF0A}" presName="Name0" presStyleCnt="0">
        <dgm:presLayoutVars>
          <dgm:dir/>
          <dgm:animLvl val="lvl"/>
          <dgm:resizeHandles val="exact"/>
        </dgm:presLayoutVars>
      </dgm:prSet>
      <dgm:spPr/>
    </dgm:pt>
    <dgm:pt modelId="{C8259B15-E2AD-4504-B024-E6C02417C749}" type="pres">
      <dgm:prSet presAssocID="{5156A48C-64EB-4785-93CA-24B851F61470}" presName="Name8" presStyleCnt="0"/>
      <dgm:spPr/>
    </dgm:pt>
    <dgm:pt modelId="{AD6D71B4-B4CD-425D-8F41-4F041180B5A5}" type="pres">
      <dgm:prSet presAssocID="{5156A48C-64EB-4785-93CA-24B851F61470}" presName="level" presStyleLbl="node1" presStyleIdx="0" presStyleCnt="4">
        <dgm:presLayoutVars>
          <dgm:chMax val="1"/>
          <dgm:bulletEnabled val="1"/>
        </dgm:presLayoutVars>
      </dgm:prSet>
      <dgm:spPr/>
    </dgm:pt>
    <dgm:pt modelId="{E708EA4F-3C85-4487-AE00-CAE9AB23AF13}" type="pres">
      <dgm:prSet presAssocID="{5156A48C-64EB-4785-93CA-24B851F61470}" presName="levelTx" presStyleCnt="0">
        <dgm:presLayoutVars>
          <dgm:chMax val="1"/>
          <dgm:bulletEnabled val="1"/>
        </dgm:presLayoutVars>
      </dgm:prSet>
      <dgm:spPr/>
    </dgm:pt>
    <dgm:pt modelId="{3E961DA9-5E98-4FA4-BF3C-490FD37073D7}" type="pres">
      <dgm:prSet presAssocID="{689B689F-02D1-462C-8E15-3D296F4269DF}" presName="Name8" presStyleCnt="0"/>
      <dgm:spPr/>
    </dgm:pt>
    <dgm:pt modelId="{B062758B-585A-4490-8407-FEF3B1DB90B9}" type="pres">
      <dgm:prSet presAssocID="{689B689F-02D1-462C-8E15-3D296F4269DF}" presName="level" presStyleLbl="node1" presStyleIdx="1" presStyleCnt="4">
        <dgm:presLayoutVars>
          <dgm:chMax val="1"/>
          <dgm:bulletEnabled val="1"/>
        </dgm:presLayoutVars>
      </dgm:prSet>
      <dgm:spPr/>
    </dgm:pt>
    <dgm:pt modelId="{49661384-A28A-4053-8281-AF5C1EBF1EDB}" type="pres">
      <dgm:prSet presAssocID="{689B689F-02D1-462C-8E15-3D296F4269DF}" presName="levelTx" presStyleCnt="0">
        <dgm:presLayoutVars>
          <dgm:chMax val="1"/>
          <dgm:bulletEnabled val="1"/>
        </dgm:presLayoutVars>
      </dgm:prSet>
      <dgm:spPr/>
    </dgm:pt>
    <dgm:pt modelId="{F16D8E7C-D53A-4BE7-9C19-6F41DFFD9C26}" type="pres">
      <dgm:prSet presAssocID="{59CC0844-7971-42C4-A39E-A72C6724C7CB}" presName="Name8" presStyleCnt="0"/>
      <dgm:spPr/>
    </dgm:pt>
    <dgm:pt modelId="{DABEBFD1-85A7-4430-808F-CFAAD0FA3993}" type="pres">
      <dgm:prSet presAssocID="{59CC0844-7971-42C4-A39E-A72C6724C7CB}" presName="level" presStyleLbl="node1" presStyleIdx="2" presStyleCnt="4">
        <dgm:presLayoutVars>
          <dgm:chMax val="1"/>
          <dgm:bulletEnabled val="1"/>
        </dgm:presLayoutVars>
      </dgm:prSet>
      <dgm:spPr/>
    </dgm:pt>
    <dgm:pt modelId="{B74796E5-522F-4AF5-846B-2B1210F0B80F}" type="pres">
      <dgm:prSet presAssocID="{59CC0844-7971-42C4-A39E-A72C6724C7CB}" presName="levelTx" presStyleCnt="0">
        <dgm:presLayoutVars>
          <dgm:chMax val="1"/>
          <dgm:bulletEnabled val="1"/>
        </dgm:presLayoutVars>
      </dgm:prSet>
      <dgm:spPr/>
    </dgm:pt>
    <dgm:pt modelId="{F0E42149-14DF-44A3-BE89-29C52E569FE4}" type="pres">
      <dgm:prSet presAssocID="{2353CA29-726A-476D-BB01-BF7C5B046DC4}" presName="Name8" presStyleCnt="0"/>
      <dgm:spPr/>
    </dgm:pt>
    <dgm:pt modelId="{0E3B3762-4E75-469C-BEA8-4BEF681C4676}" type="pres">
      <dgm:prSet presAssocID="{2353CA29-726A-476D-BB01-BF7C5B046DC4}" presName="level" presStyleLbl="node1" presStyleIdx="3" presStyleCnt="4">
        <dgm:presLayoutVars>
          <dgm:chMax val="1"/>
          <dgm:bulletEnabled val="1"/>
        </dgm:presLayoutVars>
      </dgm:prSet>
      <dgm:spPr/>
    </dgm:pt>
    <dgm:pt modelId="{6895940B-E3CF-4808-9D4F-957FF2F4DA65}" type="pres">
      <dgm:prSet presAssocID="{2353CA29-726A-476D-BB01-BF7C5B046DC4}" presName="levelTx" presStyleCnt="0">
        <dgm:presLayoutVars>
          <dgm:chMax val="1"/>
          <dgm:bulletEnabled val="1"/>
        </dgm:presLayoutVars>
      </dgm:prSet>
      <dgm:spPr/>
    </dgm:pt>
  </dgm:ptLst>
  <dgm:cxnLst>
    <dgm:cxn modelId="{8A63D3C1-1D21-4B1A-B7C7-57986BC480B1}" srcId="{40D7A932-F704-43F6-B7D3-632C594CAF0A}" destId="{5156A48C-64EB-4785-93CA-24B851F61470}" srcOrd="0" destOrd="0" parTransId="{44DD142A-493F-4BD2-8BF5-566820976B60}" sibTransId="{146660E0-8749-4313-9D04-2720140AB0DB}"/>
    <dgm:cxn modelId="{B606E6BE-E5E4-495E-BD4C-41745D18ECF4}" srcId="{40D7A932-F704-43F6-B7D3-632C594CAF0A}" destId="{689B689F-02D1-462C-8E15-3D296F4269DF}" srcOrd="1" destOrd="0" parTransId="{1C0C76FB-2BA4-44B3-A4CE-7105F9AAB60F}" sibTransId="{D350E28F-F50D-4107-86F2-D50420ABC3F3}"/>
    <dgm:cxn modelId="{4309D497-13A0-4AB3-A6A2-F696CDC17984}" srcId="{40D7A932-F704-43F6-B7D3-632C594CAF0A}" destId="{59CC0844-7971-42C4-A39E-A72C6724C7CB}" srcOrd="2" destOrd="0" parTransId="{8E9587C0-342B-40B9-AE35-1825D74A9715}" sibTransId="{530F4CAA-40D8-4C41-848E-AD1ECB08B082}"/>
    <dgm:cxn modelId="{721805A9-2B1D-4BCA-A69A-0CB7DD06B7C7}" srcId="{40D7A932-F704-43F6-B7D3-632C594CAF0A}" destId="{2353CA29-726A-476D-BB01-BF7C5B046DC4}" srcOrd="3" destOrd="0" parTransId="{771A025A-6A14-4E01-B4B6-0D1F13ABFA28}" sibTransId="{78A62901-A984-437B-A056-4BFF7AE489A0}"/>
    <dgm:cxn modelId="{06CB26C0-20D0-4608-A239-331FB544540F}" type="presOf" srcId="{40D7A932-F704-43F6-B7D3-632C594CAF0A}" destId="{8517F7A0-1402-4B99-AF53-F54425413A7C}" srcOrd="0" destOrd="0" presId="urn:microsoft.com/office/officeart/2005/8/layout/pyramid1"/>
    <dgm:cxn modelId="{788188F4-782A-437B-BA44-3DA72351B3DC}" type="presParOf" srcId="{8517F7A0-1402-4B99-AF53-F54425413A7C}" destId="{C8259B15-E2AD-4504-B024-E6C02417C749}" srcOrd="0" destOrd="0" presId="urn:microsoft.com/office/officeart/2005/8/layout/pyramid1"/>
    <dgm:cxn modelId="{C5028747-F3E0-4B61-A48C-E509FAC32764}" type="presParOf" srcId="{C8259B15-E2AD-4504-B024-E6C02417C749}" destId="{AD6D71B4-B4CD-425D-8F41-4F041180B5A5}" srcOrd="0" destOrd="0" presId="urn:microsoft.com/office/officeart/2005/8/layout/pyramid1"/>
    <dgm:cxn modelId="{44ADE66D-C185-448D-BA62-0EC8BA74A6C6}" type="presOf" srcId="{5156A48C-64EB-4785-93CA-24B851F61470}" destId="{AD6D71B4-B4CD-425D-8F41-4F041180B5A5}" srcOrd="0" destOrd="0" presId="urn:microsoft.com/office/officeart/2005/8/layout/pyramid1"/>
    <dgm:cxn modelId="{1A37AC9A-906E-4AB3-A1BF-5F52A8DDD91B}" type="presParOf" srcId="{C8259B15-E2AD-4504-B024-E6C02417C749}" destId="{E708EA4F-3C85-4487-AE00-CAE9AB23AF13}" srcOrd="1" destOrd="0" presId="urn:microsoft.com/office/officeart/2005/8/layout/pyramid1"/>
    <dgm:cxn modelId="{89F00DE3-E3D7-4B5F-8219-89F77D3F7A9A}" type="presOf" srcId="{5156A48C-64EB-4785-93CA-24B851F61470}" destId="{E708EA4F-3C85-4487-AE00-CAE9AB23AF13}" srcOrd="1" destOrd="0" presId="urn:microsoft.com/office/officeart/2005/8/layout/pyramid1"/>
    <dgm:cxn modelId="{AE01197D-9283-4351-A9F4-F07A33891ECC}" type="presParOf" srcId="{8517F7A0-1402-4B99-AF53-F54425413A7C}" destId="{3E961DA9-5E98-4FA4-BF3C-490FD37073D7}" srcOrd="1" destOrd="0" presId="urn:microsoft.com/office/officeart/2005/8/layout/pyramid1"/>
    <dgm:cxn modelId="{9BD44D1B-6F85-4DFB-B8F4-DA1940096D02}" type="presParOf" srcId="{3E961DA9-5E98-4FA4-BF3C-490FD37073D7}" destId="{B062758B-585A-4490-8407-FEF3B1DB90B9}" srcOrd="0" destOrd="1" presId="urn:microsoft.com/office/officeart/2005/8/layout/pyramid1"/>
    <dgm:cxn modelId="{967392E1-ADBE-4756-80D4-3B944568A97C}" type="presOf" srcId="{689B689F-02D1-462C-8E15-3D296F4269DF}" destId="{B062758B-585A-4490-8407-FEF3B1DB90B9}" srcOrd="0" destOrd="0" presId="urn:microsoft.com/office/officeart/2005/8/layout/pyramid1"/>
    <dgm:cxn modelId="{70EFBF5C-FB4F-445C-92F3-6955EDA79921}" type="presParOf" srcId="{3E961DA9-5E98-4FA4-BF3C-490FD37073D7}" destId="{49661384-A28A-4053-8281-AF5C1EBF1EDB}" srcOrd="1" destOrd="1" presId="urn:microsoft.com/office/officeart/2005/8/layout/pyramid1"/>
    <dgm:cxn modelId="{50834C8F-E164-4049-9ED7-F51289A05CD7}" type="presOf" srcId="{689B689F-02D1-462C-8E15-3D296F4269DF}" destId="{49661384-A28A-4053-8281-AF5C1EBF1EDB}" srcOrd="1" destOrd="0" presId="urn:microsoft.com/office/officeart/2005/8/layout/pyramid1"/>
    <dgm:cxn modelId="{AF239038-D411-4435-9C7D-DE268343992B}" type="presParOf" srcId="{8517F7A0-1402-4B99-AF53-F54425413A7C}" destId="{F16D8E7C-D53A-4BE7-9C19-6F41DFFD9C26}" srcOrd="2" destOrd="0" presId="urn:microsoft.com/office/officeart/2005/8/layout/pyramid1"/>
    <dgm:cxn modelId="{413E65D0-F7B4-41AD-85CF-65E21835BD02}" type="presParOf" srcId="{F16D8E7C-D53A-4BE7-9C19-6F41DFFD9C26}" destId="{DABEBFD1-85A7-4430-808F-CFAAD0FA3993}" srcOrd="0" destOrd="2" presId="urn:microsoft.com/office/officeart/2005/8/layout/pyramid1"/>
    <dgm:cxn modelId="{A55D2A56-9F88-46C3-AD95-9A4232CBADD6}" type="presOf" srcId="{59CC0844-7971-42C4-A39E-A72C6724C7CB}" destId="{DABEBFD1-85A7-4430-808F-CFAAD0FA3993}" srcOrd="0" destOrd="0" presId="urn:microsoft.com/office/officeart/2005/8/layout/pyramid1"/>
    <dgm:cxn modelId="{70BBC1BF-5649-4121-BFBB-CB89068A246A}" type="presParOf" srcId="{F16D8E7C-D53A-4BE7-9C19-6F41DFFD9C26}" destId="{B74796E5-522F-4AF5-846B-2B1210F0B80F}" srcOrd="1" destOrd="2" presId="urn:microsoft.com/office/officeart/2005/8/layout/pyramid1"/>
    <dgm:cxn modelId="{0E9798D8-D00D-4C34-81DE-3CA92218856A}" type="presOf" srcId="{59CC0844-7971-42C4-A39E-A72C6724C7CB}" destId="{B74796E5-522F-4AF5-846B-2B1210F0B80F}" srcOrd="1" destOrd="0" presId="urn:microsoft.com/office/officeart/2005/8/layout/pyramid1"/>
    <dgm:cxn modelId="{689C807D-50C7-4173-AFA5-159B39531EC7}" type="presParOf" srcId="{8517F7A0-1402-4B99-AF53-F54425413A7C}" destId="{F0E42149-14DF-44A3-BE89-29C52E569FE4}" srcOrd="3" destOrd="0" presId="urn:microsoft.com/office/officeart/2005/8/layout/pyramid1"/>
    <dgm:cxn modelId="{7712DD75-CF7E-4B7D-AC50-90ECE3B7476E}" type="presParOf" srcId="{F0E42149-14DF-44A3-BE89-29C52E569FE4}" destId="{0E3B3762-4E75-469C-BEA8-4BEF681C4676}" srcOrd="0" destOrd="3" presId="urn:microsoft.com/office/officeart/2005/8/layout/pyramid1"/>
    <dgm:cxn modelId="{863E63B5-31D4-4EDB-B9B4-C2EFD6DC1260}" type="presOf" srcId="{2353CA29-726A-476D-BB01-BF7C5B046DC4}" destId="{0E3B3762-4E75-469C-BEA8-4BEF681C4676}" srcOrd="0" destOrd="0" presId="urn:microsoft.com/office/officeart/2005/8/layout/pyramid1"/>
    <dgm:cxn modelId="{209266B4-F774-49F1-BC1E-5B75D3F47143}" type="presParOf" srcId="{F0E42149-14DF-44A3-BE89-29C52E569FE4}" destId="{6895940B-E3CF-4808-9D4F-957FF2F4DA65}" srcOrd="1" destOrd="3" presId="urn:microsoft.com/office/officeart/2005/8/layout/pyramid1"/>
    <dgm:cxn modelId="{385E2D19-399D-4B66-95F7-A07ED1C2197A}" type="presOf" srcId="{2353CA29-726A-476D-BB01-BF7C5B046DC4}" destId="{6895940B-E3CF-4808-9D4F-957FF2F4DA65}" srcOrd="1" destOrd="0" presId="urn:microsoft.com/office/officeart/2005/8/layout/pyramid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ADB5165-29DA-40E4-8CF1-67AA1017F4DF}" type="doc">
      <dgm:prSet loTypeId="urn:microsoft.com/office/officeart/2009/layout/CircleArrowProcess" loCatId="process" qsTypeId="urn:microsoft.com/office/officeart/2005/8/quickstyle/simple3" qsCatId="simple" csTypeId="urn:microsoft.com/office/officeart/2005/8/colors/accent1_2" csCatId="accent1" phldr="0"/>
      <dgm:spPr/>
      <dgm:t>
        <a:bodyPr/>
        <a:p>
          <a:endParaRPr lang="zh-CN" altLang="en-US"/>
        </a:p>
      </dgm:t>
    </dgm:pt>
    <dgm:pt modelId="{1F18B811-B6C4-4E9E-B75F-E68888D2B754}">
      <dgm:prSet phldrT="[文本]" phldr="0" custT="0"/>
      <dgm:spPr/>
      <dgm:t>
        <a:bodyPr vert="horz" wrap="square"/>
        <a:p>
          <a:pPr>
            <a:lnSpc>
              <a:spcPct val="100000"/>
            </a:lnSpc>
            <a:spcBef>
              <a:spcPct val="0"/>
            </a:spcBef>
            <a:spcAft>
              <a:spcPct val="35000"/>
            </a:spcAft>
          </a:pPr>
          <a:r>
            <a:rPr lang="en-US" altLang="zh-CN"/>
            <a:t>Free </a:t>
          </a:r>
          <a:r>
            <a:rPr lang="en-US" altLang="zh-CN"/>
            <a:t>users</a:t>
          </a:r>
          <a:endParaRPr lang="en-US" altLang="zh-CN"/>
        </a:p>
      </dgm:t>
    </dgm:pt>
    <dgm:pt modelId="{39F221A0-D930-4524-B286-5041480B8FA5}" cxnId="{9BFE78A4-5281-4266-B7E1-83F786EA2997}" type="parTrans">
      <dgm:prSet/>
      <dgm:spPr/>
      <dgm:t>
        <a:bodyPr/>
        <a:p>
          <a:endParaRPr lang="zh-CN" altLang="en-US"/>
        </a:p>
      </dgm:t>
    </dgm:pt>
    <dgm:pt modelId="{808440FA-46F9-4FB5-9A52-0D4B96A1C329}" cxnId="{9BFE78A4-5281-4266-B7E1-83F786EA2997}" type="sibTrans">
      <dgm:prSet/>
      <dgm:spPr/>
      <dgm:t>
        <a:bodyPr/>
        <a:p>
          <a:endParaRPr lang="zh-CN" altLang="en-US"/>
        </a:p>
      </dgm:t>
    </dgm:pt>
    <dgm:pt modelId="{0EC68BAA-45B4-43C2-A277-337EA6F9C30A}">
      <dgm:prSet phldrT="[文本]" phldr="0" custT="0"/>
      <dgm:spPr/>
      <dgm:t>
        <a:bodyPr vert="horz" wrap="square"/>
        <a:p>
          <a:pPr>
            <a:lnSpc>
              <a:spcPct val="100000"/>
            </a:lnSpc>
            <a:spcBef>
              <a:spcPct val="0"/>
            </a:spcBef>
            <a:spcAft>
              <a:spcPct val="35000"/>
            </a:spcAft>
          </a:pPr>
          <a:r>
            <a:rPr lang="en-US" altLang="zh-CN"/>
            <a:t>Trial users</a:t>
          </a:r>
          <a:r>
            <a:rPr lang="en-US" altLang="zh-CN"/>
            <a:t/>
          </a:r>
          <a:endParaRPr lang="en-US" altLang="zh-CN"/>
        </a:p>
      </dgm:t>
    </dgm:pt>
    <dgm:pt modelId="{74E1C1F9-DBE5-45DE-ABCA-4EAB89E7BD46}" cxnId="{F750D4FB-40B3-4B51-B727-5CB5ABFC3692}" type="parTrans">
      <dgm:prSet/>
      <dgm:spPr/>
      <dgm:t>
        <a:bodyPr/>
        <a:p>
          <a:endParaRPr lang="zh-CN" altLang="en-US"/>
        </a:p>
      </dgm:t>
    </dgm:pt>
    <dgm:pt modelId="{B14E47DD-7335-43B1-AA39-9A37DC959B2D}" cxnId="{F750D4FB-40B3-4B51-B727-5CB5ABFC3692}" type="sibTrans">
      <dgm:prSet/>
      <dgm:spPr/>
      <dgm:t>
        <a:bodyPr/>
        <a:p>
          <a:endParaRPr lang="zh-CN" altLang="en-US"/>
        </a:p>
      </dgm:t>
    </dgm:pt>
    <dgm:pt modelId="{9191245A-08B2-492B-8F4C-F0BB23674A76}">
      <dgm:prSet phldrT="[文本]" phldr="0" custT="0"/>
      <dgm:spPr/>
      <dgm:t>
        <a:bodyPr vert="horz" wrap="square"/>
        <a:p>
          <a:pPr>
            <a:lnSpc>
              <a:spcPct val="100000"/>
            </a:lnSpc>
            <a:spcBef>
              <a:spcPct val="0"/>
            </a:spcBef>
            <a:spcAft>
              <a:spcPct val="35000"/>
            </a:spcAft>
          </a:pPr>
          <a:r>
            <a:rPr lang="en-US" altLang="zh-CN"/>
            <a:t>Premium menmbership</a:t>
          </a:r>
          <a:r>
            <a:rPr lang="en-US" altLang="zh-CN"/>
            <a:t/>
          </a:r>
          <a:endParaRPr lang="en-US" altLang="zh-CN"/>
        </a:p>
      </dgm:t>
    </dgm:pt>
    <dgm:pt modelId="{88B912E5-FDBE-47AD-B6CC-5D82B19F2810}" cxnId="{D6687FF4-13CD-4839-9A32-374AB335FAD3}" type="parTrans">
      <dgm:prSet/>
      <dgm:spPr/>
      <dgm:t>
        <a:bodyPr/>
        <a:p>
          <a:endParaRPr lang="zh-CN" altLang="en-US"/>
        </a:p>
      </dgm:t>
    </dgm:pt>
    <dgm:pt modelId="{BDF1CE3D-63BD-4B26-AEBD-1516CE58D66C}" cxnId="{D6687FF4-13CD-4839-9A32-374AB335FAD3}" type="sibTrans">
      <dgm:prSet/>
      <dgm:spPr/>
      <dgm:t>
        <a:bodyPr/>
        <a:p>
          <a:endParaRPr lang="zh-CN" altLang="en-US"/>
        </a:p>
      </dgm:t>
    </dgm:pt>
    <dgm:pt modelId="{FC7D71FE-C5B8-49A0-8DAE-85BE5AE974BC}" type="pres">
      <dgm:prSet presAssocID="{3ADB5165-29DA-40E4-8CF1-67AA1017F4DF}" presName="Name0" presStyleCnt="0">
        <dgm:presLayoutVars>
          <dgm:chMax val="7"/>
          <dgm:chPref val="7"/>
          <dgm:dir/>
          <dgm:animLvl val="lvl"/>
        </dgm:presLayoutVars>
      </dgm:prSet>
      <dgm:spPr/>
    </dgm:pt>
    <dgm:pt modelId="{AECC728B-0484-4C16-8415-E924988BF362}" type="pres">
      <dgm:prSet presAssocID="{1F18B811-B6C4-4E9E-B75F-E68888D2B754}" presName="Accent1" presStyleCnt="0"/>
      <dgm:spPr/>
    </dgm:pt>
    <dgm:pt modelId="{2B58B044-31E5-4900-BEF2-0561C35E9287}" type="pres">
      <dgm:prSet presAssocID="{1F18B811-B6C4-4E9E-B75F-E68888D2B754}" presName="Accent" presStyleLbl="node1" presStyleIdx="0" presStyleCnt="3"/>
      <dgm:spPr/>
    </dgm:pt>
    <dgm:pt modelId="{868A1768-D971-44A0-9296-883AA6C351ED}" type="pres">
      <dgm:prSet presAssocID="{1F18B811-B6C4-4E9E-B75F-E68888D2B754}" presName="Parent1" presStyleLbl="revTx" presStyleIdx="0" presStyleCnt="3">
        <dgm:presLayoutVars>
          <dgm:chMax val="1"/>
          <dgm:chPref val="1"/>
          <dgm:bulletEnabled val="1"/>
        </dgm:presLayoutVars>
      </dgm:prSet>
      <dgm:spPr/>
    </dgm:pt>
    <dgm:pt modelId="{2C8DF182-23DB-4A36-BE33-8CDFC15EB7DF}" type="pres">
      <dgm:prSet presAssocID="{0EC68BAA-45B4-43C2-A277-337EA6F9C30A}" presName="Accent2" presStyleCnt="0"/>
      <dgm:spPr/>
    </dgm:pt>
    <dgm:pt modelId="{82F5C82C-3C8C-44AC-B495-DCAFE372B3B8}" type="pres">
      <dgm:prSet presAssocID="{0EC68BAA-45B4-43C2-A277-337EA6F9C30A}" presName="Accent" presStyleLbl="node1" presStyleIdx="1" presStyleCnt="3"/>
      <dgm:spPr/>
    </dgm:pt>
    <dgm:pt modelId="{A51B79B2-94EA-48E8-9F5B-CCC2F37FE992}" type="pres">
      <dgm:prSet presAssocID="{0EC68BAA-45B4-43C2-A277-337EA6F9C30A}" presName="Parent2" presStyleLbl="revTx" presStyleIdx="1" presStyleCnt="3">
        <dgm:presLayoutVars>
          <dgm:chMax val="1"/>
          <dgm:chPref val="1"/>
          <dgm:bulletEnabled val="1"/>
        </dgm:presLayoutVars>
      </dgm:prSet>
      <dgm:spPr/>
    </dgm:pt>
    <dgm:pt modelId="{C863CCF9-412A-484D-B839-E1C116F89683}" type="pres">
      <dgm:prSet presAssocID="{9191245A-08B2-492B-8F4C-F0BB23674A76}" presName="Accent3" presStyleCnt="0"/>
      <dgm:spPr/>
    </dgm:pt>
    <dgm:pt modelId="{D8B093BC-2378-41D5-BB68-CF2D7261907B}" type="pres">
      <dgm:prSet presAssocID="{9191245A-08B2-492B-8F4C-F0BB23674A76}" presName="Accent" presStyleLbl="node1" presStyleIdx="2" presStyleCnt="3"/>
      <dgm:spPr/>
    </dgm:pt>
    <dgm:pt modelId="{69052E6C-D2A5-4989-93EA-93D0C254E4EB}" type="pres">
      <dgm:prSet presAssocID="{9191245A-08B2-492B-8F4C-F0BB23674A76}" presName="Parent3" presStyleLbl="revTx" presStyleIdx="2" presStyleCnt="3">
        <dgm:presLayoutVars>
          <dgm:chMax val="1"/>
          <dgm:chPref val="1"/>
          <dgm:bulletEnabled val="1"/>
        </dgm:presLayoutVars>
      </dgm:prSet>
      <dgm:spPr/>
    </dgm:pt>
  </dgm:ptLst>
  <dgm:cxnLst>
    <dgm:cxn modelId="{9BFE78A4-5281-4266-B7E1-83F786EA2997}" srcId="{3ADB5165-29DA-40E4-8CF1-67AA1017F4DF}" destId="{1F18B811-B6C4-4E9E-B75F-E68888D2B754}" srcOrd="0" destOrd="0" parTransId="{39F221A0-D930-4524-B286-5041480B8FA5}" sibTransId="{808440FA-46F9-4FB5-9A52-0D4B96A1C329}"/>
    <dgm:cxn modelId="{F750D4FB-40B3-4B51-B727-5CB5ABFC3692}" srcId="{3ADB5165-29DA-40E4-8CF1-67AA1017F4DF}" destId="{0EC68BAA-45B4-43C2-A277-337EA6F9C30A}" srcOrd="1" destOrd="0" parTransId="{74E1C1F9-DBE5-45DE-ABCA-4EAB89E7BD46}" sibTransId="{B14E47DD-7335-43B1-AA39-9A37DC959B2D}"/>
    <dgm:cxn modelId="{D6687FF4-13CD-4839-9A32-374AB335FAD3}" srcId="{3ADB5165-29DA-40E4-8CF1-67AA1017F4DF}" destId="{9191245A-08B2-492B-8F4C-F0BB23674A76}" srcOrd="2" destOrd="0" parTransId="{88B912E5-FDBE-47AD-B6CC-5D82B19F2810}" sibTransId="{BDF1CE3D-63BD-4B26-AEBD-1516CE58D66C}"/>
    <dgm:cxn modelId="{AB1ED397-C5A1-4B51-80B5-192EE3B4FEC6}" type="presOf" srcId="{3ADB5165-29DA-40E4-8CF1-67AA1017F4DF}" destId="{FC7D71FE-C5B8-49A0-8DAE-85BE5AE974BC}" srcOrd="0" destOrd="0" presId="urn:microsoft.com/office/officeart/2009/layout/CircleArrowProcess"/>
    <dgm:cxn modelId="{6E9C10AB-851D-4EB0-89B6-27767087F671}" type="presParOf" srcId="{FC7D71FE-C5B8-49A0-8DAE-85BE5AE974BC}" destId="{AECC728B-0484-4C16-8415-E924988BF362}" srcOrd="0" destOrd="0" presId="urn:microsoft.com/office/officeart/2009/layout/CircleArrowProcess"/>
    <dgm:cxn modelId="{5C4B2922-9564-4525-A64F-17026C6C9377}" type="presParOf" srcId="{AECC728B-0484-4C16-8415-E924988BF362}" destId="{2B58B044-31E5-4900-BEF2-0561C35E9287}" srcOrd="0" destOrd="0" presId="urn:microsoft.com/office/officeart/2009/layout/CircleArrowProcess"/>
    <dgm:cxn modelId="{1E851EDD-2621-4E14-A04B-7688FF33E60B}" type="presParOf" srcId="{FC7D71FE-C5B8-49A0-8DAE-85BE5AE974BC}" destId="{868A1768-D971-44A0-9296-883AA6C351ED}" srcOrd="1" destOrd="0" presId="urn:microsoft.com/office/officeart/2009/layout/CircleArrowProcess"/>
    <dgm:cxn modelId="{289AE2E3-AA19-4A2B-8EEF-5D21476D6AB8}" type="presOf" srcId="{1F18B811-B6C4-4E9E-B75F-E68888D2B754}" destId="{868A1768-D971-44A0-9296-883AA6C351ED}" srcOrd="0" destOrd="0" presId="urn:microsoft.com/office/officeart/2009/layout/CircleArrowProcess"/>
    <dgm:cxn modelId="{0D8C26CA-3A8E-4D91-9B6E-172828D6ECD2}" type="presParOf" srcId="{FC7D71FE-C5B8-49A0-8DAE-85BE5AE974BC}" destId="{2C8DF182-23DB-4A36-BE33-8CDFC15EB7DF}" srcOrd="2" destOrd="0" presId="urn:microsoft.com/office/officeart/2009/layout/CircleArrowProcess"/>
    <dgm:cxn modelId="{879AA3D2-A5F0-4C84-BD5A-D5F21B817220}" type="presParOf" srcId="{2C8DF182-23DB-4A36-BE33-8CDFC15EB7DF}" destId="{82F5C82C-3C8C-44AC-B495-DCAFE372B3B8}" srcOrd="0" destOrd="2" presId="urn:microsoft.com/office/officeart/2009/layout/CircleArrowProcess"/>
    <dgm:cxn modelId="{660B92F3-6DA0-49DF-9E40-65082DD4BC45}" type="presParOf" srcId="{FC7D71FE-C5B8-49A0-8DAE-85BE5AE974BC}" destId="{A51B79B2-94EA-48E8-9F5B-CCC2F37FE992}" srcOrd="3" destOrd="0" presId="urn:microsoft.com/office/officeart/2009/layout/CircleArrowProcess"/>
    <dgm:cxn modelId="{288CA57D-A95A-4032-8323-E1E282D9A732}" type="presOf" srcId="{0EC68BAA-45B4-43C2-A277-337EA6F9C30A}" destId="{A51B79B2-94EA-48E8-9F5B-CCC2F37FE992}" srcOrd="0" destOrd="0" presId="urn:microsoft.com/office/officeart/2009/layout/CircleArrowProcess"/>
    <dgm:cxn modelId="{28297475-78A2-4562-A1CA-CB8C33746C67}" type="presParOf" srcId="{FC7D71FE-C5B8-49A0-8DAE-85BE5AE974BC}" destId="{C863CCF9-412A-484D-B839-E1C116F89683}" srcOrd="4" destOrd="0" presId="urn:microsoft.com/office/officeart/2009/layout/CircleArrowProcess"/>
    <dgm:cxn modelId="{D9C068E8-EBAF-4346-A4F2-CF0DE2D0FEF0}" type="presParOf" srcId="{C863CCF9-412A-484D-B839-E1C116F89683}" destId="{D8B093BC-2378-41D5-BB68-CF2D7261907B}" srcOrd="0" destOrd="4" presId="urn:microsoft.com/office/officeart/2009/layout/CircleArrowProcess"/>
    <dgm:cxn modelId="{43669321-9080-42A7-8E81-9DBC6C76AC7E}" type="presParOf" srcId="{FC7D71FE-C5B8-49A0-8DAE-85BE5AE974BC}" destId="{69052E6C-D2A5-4989-93EA-93D0C254E4EB}" srcOrd="5" destOrd="0" presId="urn:microsoft.com/office/officeart/2009/layout/CircleArrowProcess"/>
    <dgm:cxn modelId="{67AD01AA-7EBA-4343-B503-71423616CA1A}" type="presOf" srcId="{9191245A-08B2-492B-8F4C-F0BB23674A76}" destId="{69052E6C-D2A5-4989-93EA-93D0C254E4EB}" srcOrd="0" destOrd="0" presId="urn:microsoft.com/office/officeart/2009/layout/CircleArrowProcess"/>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77D31B3-3808-4FBA-8FA4-CC8D448A173E}" type="doc">
      <dgm:prSet loTypeId="urn:microsoft.com/office/officeart/2005/8/layout/orgChart1" loCatId="hierarchy" qsTypeId="urn:microsoft.com/office/officeart/2005/8/quickstyle/simple3" qsCatId="simple" csTypeId="urn:microsoft.com/office/officeart/2005/8/colors/accent1_2" csCatId="accent1" phldr="0"/>
      <dgm:spPr/>
      <dgm:t>
        <a:bodyPr/>
        <a:p>
          <a:endParaRPr lang="zh-CN" altLang="en-US"/>
        </a:p>
      </dgm:t>
    </dgm:pt>
    <dgm:pt modelId="{47C757F0-AA23-46BE-9311-EA432CDEEAA1}">
      <dgm:prSet phldrT="[文本]" phldr="0" custT="0"/>
      <dgm:spPr/>
      <dgm:t>
        <a:bodyPr vert="horz" wrap="square"/>
        <a:p>
          <a:pPr>
            <a:lnSpc>
              <a:spcPct val="100000"/>
            </a:lnSpc>
            <a:spcBef>
              <a:spcPct val="0"/>
            </a:spcBef>
            <a:spcAft>
              <a:spcPct val="35000"/>
            </a:spcAft>
          </a:pPr>
          <a:r>
            <a:rPr lang="en-US" altLang="zh-CN">
              <a:latin typeface="Times New Roman Regular" panose="02020603050405020304" charset="0"/>
              <a:ea typeface="+mj-ea"/>
              <a:cs typeface="Times New Roman Regular" panose="02020603050405020304" charset="0"/>
            </a:rPr>
            <a:t>Yating Zhang</a:t>
          </a:r>
          <a:r>
            <a:rPr lang="en-US" altLang="zh-CN"/>
            <a:t/>
          </a:r>
          <a:endParaRPr lang="en-US" altLang="zh-CN"/>
        </a:p>
        <a:p>
          <a:pPr>
            <a:lnSpc>
              <a:spcPct val="100000"/>
            </a:lnSpc>
            <a:spcBef>
              <a:spcPct val="0"/>
            </a:spcBef>
            <a:spcAft>
              <a:spcPct val="35000"/>
            </a:spcAft>
          </a:pPr>
          <a:r>
            <a:rPr lang="en-US" altLang="zh-CN" b="1"/>
            <a:t>CEO</a:t>
          </a:r>
          <a:r>
            <a:rPr lang="en-US" altLang="zh-CN" b="1"/>
            <a:t/>
          </a:r>
          <a:endParaRPr lang="en-US" altLang="zh-CN" b="1"/>
        </a:p>
      </dgm:t>
    </dgm:pt>
    <dgm:pt modelId="{AB39B06D-FE6C-48B2-B5B4-77CD0C8CF7AD}" cxnId="{7DD89F02-666C-4B35-9F97-2E10C08927CC}" type="parTrans">
      <dgm:prSet/>
      <dgm:spPr/>
      <dgm:t>
        <a:bodyPr/>
        <a:p>
          <a:endParaRPr lang="zh-CN" altLang="en-US"/>
        </a:p>
      </dgm:t>
    </dgm:pt>
    <dgm:pt modelId="{DF0D1C21-B79E-4875-B7FA-EF183CB48B88}" cxnId="{7DD89F02-666C-4B35-9F97-2E10C08927CC}" type="sibTrans">
      <dgm:prSet/>
      <dgm:spPr/>
      <dgm:t>
        <a:bodyPr/>
        <a:p>
          <a:endParaRPr lang="zh-CN" altLang="en-US"/>
        </a:p>
      </dgm:t>
    </dgm:pt>
    <dgm:pt modelId="{12714FC6-8B41-47E5-91DD-F02D34D23B93}">
      <dgm:prSet phldrT="[文本]" phldr="0" custT="0"/>
      <dgm:spPr/>
      <dgm:t>
        <a:bodyPr vert="horz" wrap="square"/>
        <a:p>
          <a:pPr>
            <a:lnSpc>
              <a:spcPct val="100000"/>
            </a:lnSpc>
            <a:spcBef>
              <a:spcPct val="0"/>
            </a:spcBef>
            <a:spcAft>
              <a:spcPct val="35000"/>
            </a:spcAft>
          </a:pPr>
          <a:r>
            <a:rPr lang="en-US" altLang="zh-CN">
              <a:latin typeface="Times New Roman Regular" panose="02020603050405020304" charset="0"/>
              <a:ea typeface="+mj-ea"/>
              <a:cs typeface="Times New Roman Regular" panose="02020603050405020304" charset="0"/>
            </a:rPr>
            <a:t>Jiaqi </a:t>
          </a:r>
          <a:r>
            <a:rPr lang="en-US" altLang="zh-CN">
              <a:latin typeface="Times New Roman Regular" panose="02020603050405020304" charset="0"/>
              <a:ea typeface="+mj-ea"/>
              <a:cs typeface="Times New Roman Regular" panose="02020603050405020304" charset="0"/>
            </a:rPr>
            <a:t>Chen</a:t>
          </a:r>
          <a:endParaRPr lang="en-US" altLang="zh-CN">
            <a:latin typeface="Times New Roman Regular" panose="02020603050405020304" charset="0"/>
            <a:ea typeface="+mj-ea"/>
            <a:cs typeface="Times New Roman Regular" panose="02020603050405020304" charset="0"/>
          </a:endParaRPr>
        </a:p>
        <a:p>
          <a:pPr>
            <a:lnSpc>
              <a:spcPct val="100000"/>
            </a:lnSpc>
            <a:spcBef>
              <a:spcPct val="0"/>
            </a:spcBef>
            <a:spcAft>
              <a:spcPct val="35000"/>
            </a:spcAft>
          </a:pPr>
          <a:r>
            <a:rPr lang="en-US" altLang="zh-CN" b="1"/>
            <a:t>CTO</a:t>
          </a:r>
          <a:r>
            <a:rPr lang="zh-CN" altLang="en-US" b="1"/>
            <a:t/>
          </a:r>
          <a:endParaRPr lang="zh-CN" altLang="en-US" b="1"/>
        </a:p>
      </dgm:t>
    </dgm:pt>
    <dgm:pt modelId="{EACD17F5-D793-4A43-B489-D1804D50CFEF}" cxnId="{0C651E1A-C8EA-456E-86FF-84B5E31113FD}" type="parTrans">
      <dgm:prSet/>
      <dgm:spPr/>
      <dgm:t>
        <a:bodyPr/>
        <a:p>
          <a:endParaRPr lang="zh-CN" altLang="en-US"/>
        </a:p>
      </dgm:t>
    </dgm:pt>
    <dgm:pt modelId="{FA45D93F-0724-4936-AA45-E6762732A19D}" cxnId="{0C651E1A-C8EA-456E-86FF-84B5E31113FD}" type="sibTrans">
      <dgm:prSet/>
      <dgm:spPr/>
      <dgm:t>
        <a:bodyPr/>
        <a:p>
          <a:endParaRPr lang="zh-CN" altLang="en-US"/>
        </a:p>
      </dgm:t>
    </dgm:pt>
    <dgm:pt modelId="{4EC42421-831D-4CD3-8215-2AF4300F9C01}">
      <dgm:prSet phldrT="[文本]" phldr="0" custT="0"/>
      <dgm:spPr/>
      <dgm:t>
        <a:bodyPr vert="horz" wrap="square"/>
        <a:p>
          <a:pPr>
            <a:lnSpc>
              <a:spcPct val="100000"/>
            </a:lnSpc>
            <a:spcBef>
              <a:spcPct val="0"/>
            </a:spcBef>
            <a:spcAft>
              <a:spcPct val="35000"/>
            </a:spcAft>
          </a:pPr>
          <a:r>
            <a:rPr lang="en-US" altLang="zh-CN">
              <a:latin typeface="Times New Roman Regular" panose="02020603050405020304" charset="0"/>
              <a:ea typeface="+mj-ea"/>
              <a:cs typeface="Times New Roman Regular" panose="02020603050405020304" charset="0"/>
            </a:rPr>
            <a:t>Xiaolu </a:t>
          </a:r>
          <a:r>
            <a:rPr lang="en-US" altLang="zh-CN">
              <a:latin typeface="Times New Roman Regular" panose="02020603050405020304" charset="0"/>
              <a:ea typeface="+mj-ea"/>
              <a:cs typeface="Times New Roman Regular" panose="02020603050405020304" charset="0"/>
            </a:rPr>
            <a:t>Xie</a:t>
          </a:r>
          <a:endParaRPr lang="en-US" altLang="zh-CN">
            <a:latin typeface="Times New Roman Regular" panose="02020603050405020304" charset="0"/>
            <a:ea typeface="+mj-ea"/>
            <a:cs typeface="Times New Roman Regular" panose="02020603050405020304" charset="0"/>
          </a:endParaRPr>
        </a:p>
        <a:p>
          <a:pPr>
            <a:lnSpc>
              <a:spcPct val="100000"/>
            </a:lnSpc>
            <a:spcBef>
              <a:spcPct val="0"/>
            </a:spcBef>
            <a:spcAft>
              <a:spcPct val="35000"/>
            </a:spcAft>
          </a:pPr>
          <a:r>
            <a:rPr lang="en-US" altLang="zh-CN" b="1"/>
            <a:t>UX</a:t>
          </a:r>
          <a:r>
            <a:rPr lang="zh-CN" altLang="en-US" b="1"/>
            <a:t/>
          </a:r>
          <a:endParaRPr lang="zh-CN" altLang="en-US" b="1"/>
        </a:p>
      </dgm:t>
    </dgm:pt>
    <dgm:pt modelId="{8D5FB264-0A5C-4C3A-85B7-453D9BD837DF}" cxnId="{399C2AF8-CBA3-4020-A224-941E6EB95ACB}" type="parTrans">
      <dgm:prSet/>
      <dgm:spPr/>
      <dgm:t>
        <a:bodyPr/>
        <a:p>
          <a:endParaRPr lang="zh-CN" altLang="en-US"/>
        </a:p>
      </dgm:t>
    </dgm:pt>
    <dgm:pt modelId="{A1825131-D805-48C8-BFCE-E45C02E6F5CE}" cxnId="{399C2AF8-CBA3-4020-A224-941E6EB95ACB}" type="sibTrans">
      <dgm:prSet/>
      <dgm:spPr/>
      <dgm:t>
        <a:bodyPr/>
        <a:p>
          <a:endParaRPr lang="zh-CN" altLang="en-US"/>
        </a:p>
      </dgm:t>
    </dgm:pt>
    <dgm:pt modelId="{CF717C8A-B40B-4AFF-BF49-65ABB7DF8190}">
      <dgm:prSet phldrT="[文本]" phldr="0" custT="0"/>
      <dgm:spPr/>
      <dgm:t>
        <a:bodyPr vert="horz" wrap="square"/>
        <a:p>
          <a:pPr>
            <a:lnSpc>
              <a:spcPct val="100000"/>
            </a:lnSpc>
            <a:spcBef>
              <a:spcPct val="0"/>
            </a:spcBef>
            <a:spcAft>
              <a:spcPct val="35000"/>
            </a:spcAft>
          </a:pPr>
          <a:r>
            <a:rPr lang="en-US" altLang="zh-CN">
              <a:latin typeface="Times New Roman Regular" panose="02020603050405020304" charset="0"/>
              <a:ea typeface="+mj-ea"/>
              <a:cs typeface="Times New Roman Regular" panose="02020603050405020304" charset="0"/>
            </a:rPr>
            <a:t>Yue </a:t>
          </a:r>
          <a:r>
            <a:rPr lang="en-US" altLang="zh-CN">
              <a:latin typeface="Times New Roman Regular" panose="02020603050405020304" charset="0"/>
              <a:ea typeface="+mj-ea"/>
              <a:cs typeface="Times New Roman Regular" panose="02020603050405020304" charset="0"/>
            </a:rPr>
            <a:t>Tang</a:t>
          </a:r>
          <a:endParaRPr lang="en-US" altLang="zh-CN">
            <a:latin typeface="Times New Roman Regular" panose="02020603050405020304" charset="0"/>
            <a:ea typeface="+mj-ea"/>
            <a:cs typeface="Times New Roman Regular" panose="02020603050405020304" charset="0"/>
          </a:endParaRPr>
        </a:p>
        <a:p>
          <a:pPr>
            <a:lnSpc>
              <a:spcPct val="100000"/>
            </a:lnSpc>
            <a:spcBef>
              <a:spcPct val="0"/>
            </a:spcBef>
            <a:spcAft>
              <a:spcPct val="35000"/>
            </a:spcAft>
          </a:pPr>
          <a:r>
            <a:rPr lang="en-US" altLang="zh-CN" b="1"/>
            <a:t>BE</a:t>
          </a:r>
          <a:r>
            <a:rPr lang="zh-CN" altLang="en-US" b="1"/>
            <a:t/>
          </a:r>
          <a:endParaRPr lang="zh-CN" altLang="en-US" b="1"/>
        </a:p>
      </dgm:t>
    </dgm:pt>
    <dgm:pt modelId="{CCF68ADE-40B6-47D0-93C1-88EC13ADC8AC}" cxnId="{666F36CE-FAC9-4154-A23B-7CD35C08E265}" type="parTrans">
      <dgm:prSet/>
      <dgm:spPr/>
      <dgm:t>
        <a:bodyPr/>
        <a:p>
          <a:endParaRPr lang="zh-CN" altLang="en-US"/>
        </a:p>
      </dgm:t>
    </dgm:pt>
    <dgm:pt modelId="{630D3E0B-D1D7-4E1A-8193-515AA5E1866F}" cxnId="{666F36CE-FAC9-4154-A23B-7CD35C08E265}" type="sibTrans">
      <dgm:prSet/>
      <dgm:spPr/>
      <dgm:t>
        <a:bodyPr/>
        <a:p>
          <a:endParaRPr lang="zh-CN" altLang="en-US"/>
        </a:p>
      </dgm:t>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3"/>
      <dgm:spPr/>
    </dgm:pt>
    <dgm:pt modelId="{D6C5C065-A308-417C-8ECC-04FC2BEC646C}" type="pres">
      <dgm:prSet presAssocID="{12714FC6-8B41-47E5-91DD-F02D34D23B93}" presName="hierRoot2" presStyleCnt="0">
        <dgm:presLayoutVars>
          <dgm:hierBranch val="init"/>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3">
        <dgm:presLayoutVars>
          <dgm:chPref val="3"/>
        </dgm:presLayoutVars>
      </dgm:prSet>
      <dgm:spPr/>
    </dgm:pt>
    <dgm:pt modelId="{9A037140-9B69-4B9F-A134-F2F2EB0F2E32}" type="pres">
      <dgm:prSet presAssocID="{12714FC6-8B41-47E5-91DD-F02D34D23B93}" presName="rootConnector" presStyleCnt="0"/>
      <dgm:spPr/>
    </dgm:pt>
    <dgm:pt modelId="{FA37AA5D-87C2-47F6-9B72-B753C073E744}" type="pres">
      <dgm:prSet presAssocID="{12714FC6-8B41-47E5-91DD-F02D34D23B93}" presName="hierChild4" presStyleCnt="0"/>
      <dgm:spPr/>
    </dgm:pt>
    <dgm:pt modelId="{A7309641-2A58-41EA-9E42-56812CF298ED}" type="pres">
      <dgm:prSet presAssocID="{12714FC6-8B41-47E5-91DD-F02D34D23B93}" presName="hierChild5" presStyleCnt="0"/>
      <dgm:spPr/>
    </dgm:pt>
    <dgm:pt modelId="{F492B679-3C8C-4E72-95A8-8B81298826E7}" type="pres">
      <dgm:prSet presAssocID="{8D5FB264-0A5C-4C3A-85B7-453D9BD837DF}" presName="Name37" presStyleLbl="parChTrans1D2" presStyleIdx="1" presStyleCnt="3"/>
      <dgm:spPr/>
    </dgm:pt>
    <dgm:pt modelId="{C6F584B9-7EA2-46D8-913B-8F508509ECAB}" type="pres">
      <dgm:prSet presAssocID="{4EC42421-831D-4CD3-8215-2AF4300F9C01}" presName="hierRoot2" presStyleCnt="0">
        <dgm:presLayoutVars>
          <dgm:hierBranch val="init"/>
        </dgm:presLayoutVars>
      </dgm:prSet>
      <dgm:spPr/>
    </dgm:pt>
    <dgm:pt modelId="{6CAD9CE6-86A1-4F7D-98A6-3AF53F55F9E3}" type="pres">
      <dgm:prSet presAssocID="{4EC42421-831D-4CD3-8215-2AF4300F9C01}" presName="rootComposite" presStyleCnt="0"/>
      <dgm:spPr/>
    </dgm:pt>
    <dgm:pt modelId="{08A0D1D2-3A20-4D63-8E35-B7C8B6B16D48}" type="pres">
      <dgm:prSet presAssocID="{4EC42421-831D-4CD3-8215-2AF4300F9C01}" presName="rootText" presStyleLbl="node2" presStyleIdx="1" presStyleCnt="3">
        <dgm:presLayoutVars>
          <dgm:chPref val="3"/>
        </dgm:presLayoutVars>
      </dgm:prSet>
      <dgm:spPr/>
    </dgm:pt>
    <dgm:pt modelId="{6238C53E-A961-488B-8FBD-6EC13507B069}" type="pres">
      <dgm:prSet presAssocID="{4EC42421-831D-4CD3-8215-2AF4300F9C01}" presName="rootConnector" presStyleCnt="0"/>
      <dgm:spPr/>
    </dgm:pt>
    <dgm:pt modelId="{A9C46FD3-3BE9-4E6E-BFF6-B0B42B13F857}" type="pres">
      <dgm:prSet presAssocID="{4EC42421-831D-4CD3-8215-2AF4300F9C01}" presName="hierChild4" presStyleCnt="0"/>
      <dgm:spPr/>
    </dgm:pt>
    <dgm:pt modelId="{A663BBFB-A120-4F5B-82EC-DB644DB9966B}" type="pres">
      <dgm:prSet presAssocID="{4EC42421-831D-4CD3-8215-2AF4300F9C01}" presName="hierChild5" presStyleCnt="0"/>
      <dgm:spPr/>
    </dgm:pt>
    <dgm:pt modelId="{AB3A8128-6C86-49B7-B5CC-0153888815E5}" type="pres">
      <dgm:prSet presAssocID="{CCF68ADE-40B6-47D0-93C1-88EC13ADC8AC}" presName="Name37" presStyleLbl="parChTrans1D2" presStyleIdx="2" presStyleCnt="3"/>
      <dgm:spPr/>
    </dgm:pt>
    <dgm:pt modelId="{1A917F9A-DDE6-4568-B35C-7FABCEF0A586}" type="pres">
      <dgm:prSet presAssocID="{CF717C8A-B40B-4AFF-BF49-65ABB7DF8190}" presName="hierRoot2" presStyleCnt="0">
        <dgm:presLayoutVars>
          <dgm:hierBranch val="init"/>
        </dgm:presLayoutVars>
      </dgm:prSet>
      <dgm:spPr/>
    </dgm:pt>
    <dgm:pt modelId="{FA949B67-3DB7-47FA-97C9-4A653E762F22}" type="pres">
      <dgm:prSet presAssocID="{CF717C8A-B40B-4AFF-BF49-65ABB7DF8190}" presName="rootComposite" presStyleCnt="0"/>
      <dgm:spPr/>
    </dgm:pt>
    <dgm:pt modelId="{7D64F4A3-0E55-47AC-A59B-9D5A9DC25552}" type="pres">
      <dgm:prSet presAssocID="{CF717C8A-B40B-4AFF-BF49-65ABB7DF8190}" presName="rootText" presStyleLbl="node2" presStyleIdx="2" presStyleCnt="3">
        <dgm:presLayoutVars>
          <dgm:chPref val="3"/>
        </dgm:presLayoutVars>
      </dgm:prSet>
      <dgm:spPr/>
    </dgm:pt>
    <dgm:pt modelId="{5667CB49-EC34-46BC-AD2D-72F3BD95D049}" type="pres">
      <dgm:prSet presAssocID="{CF717C8A-B40B-4AFF-BF49-65ABB7DF8190}" presName="rootConnector" presStyleCnt="0"/>
      <dgm:spPr/>
    </dgm:pt>
    <dgm:pt modelId="{EB3A10DA-2FA4-4DAD-8341-8078D7F83716}" type="pres">
      <dgm:prSet presAssocID="{CF717C8A-B40B-4AFF-BF49-65ABB7DF8190}" presName="hierChild4" presStyleCnt="0"/>
      <dgm:spPr/>
    </dgm:pt>
    <dgm:pt modelId="{B05C5608-85C8-433E-A928-1755312B673B}" type="pres">
      <dgm:prSet presAssocID="{CF717C8A-B40B-4AFF-BF49-65ABB7DF8190}" presName="hierChild5" presStyleCnt="0"/>
      <dgm:spPr/>
    </dgm:pt>
    <dgm:pt modelId="{0E819307-1B4E-434E-BA76-D5A4192B0663}" type="pres">
      <dgm:prSet presAssocID="{47C757F0-AA23-46BE-9311-EA432CDEEAA1}" presName="hierChild3" presStyleCnt="0"/>
      <dgm:spPr/>
    </dgm:pt>
  </dgm:ptLst>
  <dgm:cxnLst>
    <dgm:cxn modelId="{7DD89F02-666C-4B35-9F97-2E10C08927CC}" srcId="{A77D31B3-3808-4FBA-8FA4-CC8D448A173E}" destId="{47C757F0-AA23-46BE-9311-EA432CDEEAA1}" srcOrd="0" destOrd="0" parTransId="{AB39B06D-FE6C-48B2-B5B4-77CD0C8CF7AD}" sibTransId="{DF0D1C21-B79E-4875-B7FA-EF183CB48B88}"/>
    <dgm:cxn modelId="{0C651E1A-C8EA-456E-86FF-84B5E31113FD}" srcId="{47C757F0-AA23-46BE-9311-EA432CDEEAA1}" destId="{12714FC6-8B41-47E5-91DD-F02D34D23B93}" srcOrd="0" destOrd="0" parTransId="{EACD17F5-D793-4A43-B489-D1804D50CFEF}" sibTransId="{FA45D93F-0724-4936-AA45-E6762732A19D}"/>
    <dgm:cxn modelId="{399C2AF8-CBA3-4020-A224-941E6EB95ACB}" srcId="{47C757F0-AA23-46BE-9311-EA432CDEEAA1}" destId="{4EC42421-831D-4CD3-8215-2AF4300F9C01}" srcOrd="1" destOrd="0" parTransId="{8D5FB264-0A5C-4C3A-85B7-453D9BD837DF}" sibTransId="{A1825131-D805-48C8-BFCE-E45C02E6F5CE}"/>
    <dgm:cxn modelId="{666F36CE-FAC9-4154-A23B-7CD35C08E265}" srcId="{47C757F0-AA23-46BE-9311-EA432CDEEAA1}" destId="{CF717C8A-B40B-4AFF-BF49-65ABB7DF8190}" srcOrd="2" destOrd="0" parTransId="{CCF68ADE-40B6-47D0-93C1-88EC13ADC8AC}" sibTransId="{630D3E0B-D1D7-4E1A-8193-515AA5E1866F}"/>
    <dgm:cxn modelId="{2E42D153-87F5-4095-B33A-7520FC9F1328}" type="presOf" srcId="{A77D31B3-3808-4FBA-8FA4-CC8D448A173E}" destId="{E498DC9C-C5AC-4482-A26F-3B99DC5D79F0}" srcOrd="0" destOrd="0" presId="urn:microsoft.com/office/officeart/2005/8/layout/orgChart1"/>
    <dgm:cxn modelId="{8C08EA1B-CEAC-4CDA-9CCB-733B85F982A0}" type="presParOf" srcId="{E498DC9C-C5AC-4482-A26F-3B99DC5D79F0}" destId="{F728C3E8-5128-4BB6-90CC-A86769ECE335}" srcOrd="0" destOrd="0" presId="urn:microsoft.com/office/officeart/2005/8/layout/orgChart1"/>
    <dgm:cxn modelId="{5DA71F1D-F90D-421F-8BB4-30BC86E531B0}" type="presParOf" srcId="{F728C3E8-5128-4BB6-90CC-A86769ECE335}" destId="{79147750-B6BF-43FD-83A0-7ACDC9B53EFF}" srcOrd="0" destOrd="0" presId="urn:microsoft.com/office/officeart/2005/8/layout/orgChart1"/>
    <dgm:cxn modelId="{DF358ACA-4968-46CD-A49B-BC6CB6179474}" type="presOf" srcId="{47C757F0-AA23-46BE-9311-EA432CDEEAA1}" destId="{79147750-B6BF-43FD-83A0-7ACDC9B53EFF}" srcOrd="0" destOrd="0" presId="urn:microsoft.com/office/officeart/2005/8/layout/orgChart1"/>
    <dgm:cxn modelId="{90BF6B75-9FE4-4EF1-9950-7750E656CE05}" type="presParOf" srcId="{79147750-B6BF-43FD-83A0-7ACDC9B53EFF}" destId="{AE79172D-D441-42BB-84EA-E3D989670DED}" srcOrd="0" destOrd="0" presId="urn:microsoft.com/office/officeart/2005/8/layout/orgChart1"/>
    <dgm:cxn modelId="{8A7C4CFC-9EE9-4CDA-8FCC-D9C67AEADEA8}" type="presOf" srcId="{47C757F0-AA23-46BE-9311-EA432CDEEAA1}" destId="{AE79172D-D441-42BB-84EA-E3D989670DED}" srcOrd="0" destOrd="0" presId="urn:microsoft.com/office/officeart/2005/8/layout/orgChart1"/>
    <dgm:cxn modelId="{C495FD10-25DB-4CCF-A977-E5C711F097B4}" type="presParOf" srcId="{79147750-B6BF-43FD-83A0-7ACDC9B53EFF}" destId="{86420519-308D-4A6A-8FEA-6FB2E39BA448}" srcOrd="1" destOrd="0" presId="urn:microsoft.com/office/officeart/2005/8/layout/orgChart1"/>
    <dgm:cxn modelId="{3588BC78-939A-4FC7-A7E3-7D2477F09870}" type="presOf" srcId="{47C757F0-AA23-46BE-9311-EA432CDEEAA1}" destId="{86420519-308D-4A6A-8FEA-6FB2E39BA448}" srcOrd="0" destOrd="0" presId="urn:microsoft.com/office/officeart/2005/8/layout/orgChart1"/>
    <dgm:cxn modelId="{9B346189-2E85-4B13-8C0F-C42B581C9323}" type="presParOf" srcId="{F728C3E8-5128-4BB6-90CC-A86769ECE335}" destId="{9A0FF10C-81C7-47CD-A320-768F2009480B}" srcOrd="1" destOrd="0" presId="urn:microsoft.com/office/officeart/2005/8/layout/orgChart1"/>
    <dgm:cxn modelId="{F0FAAD50-F4DC-4CC1-9B43-4DD28DDEDA61}" type="presParOf" srcId="{9A0FF10C-81C7-47CD-A320-768F2009480B}" destId="{6A259130-4455-44E0-969B-948D1249687E}" srcOrd="0" destOrd="1" presId="urn:microsoft.com/office/officeart/2005/8/layout/orgChart1"/>
    <dgm:cxn modelId="{BFDAA25D-93EE-4249-8B63-C4B0E1BDCDED}" type="presOf" srcId="{EACD17F5-D793-4A43-B489-D1804D50CFEF}" destId="{6A259130-4455-44E0-969B-948D1249687E}" srcOrd="0" destOrd="0" presId="urn:microsoft.com/office/officeart/2005/8/layout/orgChart1"/>
    <dgm:cxn modelId="{E934A1D4-168D-4948-A11A-99E20EDCB211}" type="presParOf" srcId="{9A0FF10C-81C7-47CD-A320-768F2009480B}" destId="{D6C5C065-A308-417C-8ECC-04FC2BEC646C}" srcOrd="1" destOrd="1" presId="urn:microsoft.com/office/officeart/2005/8/layout/orgChart1"/>
    <dgm:cxn modelId="{761BF7F3-6485-4707-8A58-6D6E6A0A02C5}" type="presParOf" srcId="{D6C5C065-A308-417C-8ECC-04FC2BEC646C}" destId="{E36491EF-5019-46FD-BC82-1BD579B9EE0E}" srcOrd="0" destOrd="1" presId="urn:microsoft.com/office/officeart/2005/8/layout/orgChart1"/>
    <dgm:cxn modelId="{667EAC23-8974-4872-A68C-69798E4C9E2A}" type="presOf" srcId="{12714FC6-8B41-47E5-91DD-F02D34D23B93}" destId="{E36491EF-5019-46FD-BC82-1BD579B9EE0E}" srcOrd="0" destOrd="0" presId="urn:microsoft.com/office/officeart/2005/8/layout/orgChart1"/>
    <dgm:cxn modelId="{39C5F1AC-084F-4084-92F8-C0005B2307FA}" type="presParOf" srcId="{E36491EF-5019-46FD-BC82-1BD579B9EE0E}" destId="{43B7C837-49D6-40CE-BBAB-953D9E4BA7ED}" srcOrd="0" destOrd="0" presId="urn:microsoft.com/office/officeart/2005/8/layout/orgChart1"/>
    <dgm:cxn modelId="{80DC3AFB-E4DF-46F8-80CF-382017E3AC41}" type="presOf" srcId="{12714FC6-8B41-47E5-91DD-F02D34D23B93}" destId="{43B7C837-49D6-40CE-BBAB-953D9E4BA7ED}" srcOrd="0" destOrd="0" presId="urn:microsoft.com/office/officeart/2005/8/layout/orgChart1"/>
    <dgm:cxn modelId="{BB0F0C02-A292-40AB-AB8A-3550E584EA3F}" type="presParOf" srcId="{E36491EF-5019-46FD-BC82-1BD579B9EE0E}" destId="{9A037140-9B69-4B9F-A134-F2F2EB0F2E32}" srcOrd="1" destOrd="0" presId="urn:microsoft.com/office/officeart/2005/8/layout/orgChart1"/>
    <dgm:cxn modelId="{682BF9CE-F942-4EB5-9D8C-5627C1195883}" type="presOf" srcId="{12714FC6-8B41-47E5-91DD-F02D34D23B93}" destId="{9A037140-9B69-4B9F-A134-F2F2EB0F2E32}" srcOrd="0" destOrd="0" presId="urn:microsoft.com/office/officeart/2005/8/layout/orgChart1"/>
    <dgm:cxn modelId="{5F39A667-04B7-41CB-AB58-F400A64BDA76}" type="presParOf" srcId="{D6C5C065-A308-417C-8ECC-04FC2BEC646C}" destId="{FA37AA5D-87C2-47F6-9B72-B753C073E744}" srcOrd="1" destOrd="1" presId="urn:microsoft.com/office/officeart/2005/8/layout/orgChart1"/>
    <dgm:cxn modelId="{790EA8E1-3B21-4214-B852-650777039BDB}" type="presParOf" srcId="{D6C5C065-A308-417C-8ECC-04FC2BEC646C}" destId="{A7309641-2A58-41EA-9E42-56812CF298ED}" srcOrd="2" destOrd="1" presId="urn:microsoft.com/office/officeart/2005/8/layout/orgChart1"/>
    <dgm:cxn modelId="{C64EDC8D-7C55-48A3-9FA4-69501DC4132B}" type="presParOf" srcId="{9A0FF10C-81C7-47CD-A320-768F2009480B}" destId="{F492B679-3C8C-4E72-95A8-8B81298826E7}" srcOrd="2" destOrd="1" presId="urn:microsoft.com/office/officeart/2005/8/layout/orgChart1"/>
    <dgm:cxn modelId="{BC47DCD3-C1D2-4663-AB79-E117AD2F3CE2}" type="presOf" srcId="{8D5FB264-0A5C-4C3A-85B7-453D9BD837DF}" destId="{F492B679-3C8C-4E72-95A8-8B81298826E7}" srcOrd="0" destOrd="0" presId="urn:microsoft.com/office/officeart/2005/8/layout/orgChart1"/>
    <dgm:cxn modelId="{12EC169A-61EF-474E-A8C8-4EA95800D98C}" type="presParOf" srcId="{9A0FF10C-81C7-47CD-A320-768F2009480B}" destId="{C6F584B9-7EA2-46D8-913B-8F508509ECAB}" srcOrd="3" destOrd="1" presId="urn:microsoft.com/office/officeart/2005/8/layout/orgChart1"/>
    <dgm:cxn modelId="{152AC443-E025-4DD6-BA8D-0252FEDAAE10}" type="presParOf" srcId="{C6F584B9-7EA2-46D8-913B-8F508509ECAB}" destId="{6CAD9CE6-86A1-4F7D-98A6-3AF53F55F9E3}" srcOrd="0" destOrd="3" presId="urn:microsoft.com/office/officeart/2005/8/layout/orgChart1"/>
    <dgm:cxn modelId="{1CA16FF5-B8CD-45B7-A0FC-F1EB32F8E03D}" type="presOf" srcId="{4EC42421-831D-4CD3-8215-2AF4300F9C01}" destId="{6CAD9CE6-86A1-4F7D-98A6-3AF53F55F9E3}" srcOrd="0" destOrd="0" presId="urn:microsoft.com/office/officeart/2005/8/layout/orgChart1"/>
    <dgm:cxn modelId="{A97DDE75-B6EF-43B2-A1D2-73ABA7159602}" type="presParOf" srcId="{6CAD9CE6-86A1-4F7D-98A6-3AF53F55F9E3}" destId="{08A0D1D2-3A20-4D63-8E35-B7C8B6B16D48}" srcOrd="0" destOrd="0" presId="urn:microsoft.com/office/officeart/2005/8/layout/orgChart1"/>
    <dgm:cxn modelId="{EB1795C0-813A-4894-AAF5-B8E46025CA20}" type="presOf" srcId="{4EC42421-831D-4CD3-8215-2AF4300F9C01}" destId="{08A0D1D2-3A20-4D63-8E35-B7C8B6B16D48}" srcOrd="0" destOrd="0" presId="urn:microsoft.com/office/officeart/2005/8/layout/orgChart1"/>
    <dgm:cxn modelId="{145BE893-422F-4DF4-990E-9CC3B177EC25}" type="presParOf" srcId="{6CAD9CE6-86A1-4F7D-98A6-3AF53F55F9E3}" destId="{6238C53E-A961-488B-8FBD-6EC13507B069}" srcOrd="1" destOrd="0" presId="urn:microsoft.com/office/officeart/2005/8/layout/orgChart1"/>
    <dgm:cxn modelId="{583454ED-9F00-48DD-8B97-7F67E634694A}" type="presOf" srcId="{4EC42421-831D-4CD3-8215-2AF4300F9C01}" destId="{6238C53E-A961-488B-8FBD-6EC13507B069}" srcOrd="0" destOrd="0" presId="urn:microsoft.com/office/officeart/2005/8/layout/orgChart1"/>
    <dgm:cxn modelId="{A4190321-5D1A-45B0-9008-8E0A22F4800D}" type="presParOf" srcId="{C6F584B9-7EA2-46D8-913B-8F508509ECAB}" destId="{A9C46FD3-3BE9-4E6E-BFF6-B0B42B13F857}" srcOrd="1" destOrd="3" presId="urn:microsoft.com/office/officeart/2005/8/layout/orgChart1"/>
    <dgm:cxn modelId="{140AAE13-BBD4-49D1-9AC5-0EB654488A76}" type="presParOf" srcId="{C6F584B9-7EA2-46D8-913B-8F508509ECAB}" destId="{A663BBFB-A120-4F5B-82EC-DB644DB9966B}" srcOrd="2" destOrd="3" presId="urn:microsoft.com/office/officeart/2005/8/layout/orgChart1"/>
    <dgm:cxn modelId="{55AF2E04-BE00-41A2-80DC-9BE6B84FDF57}" type="presParOf" srcId="{9A0FF10C-81C7-47CD-A320-768F2009480B}" destId="{AB3A8128-6C86-49B7-B5CC-0153888815E5}" srcOrd="4" destOrd="1" presId="urn:microsoft.com/office/officeart/2005/8/layout/orgChart1"/>
    <dgm:cxn modelId="{EA89CCA4-4FCE-4459-ABA5-9350A9306DB9}" type="presOf" srcId="{CCF68ADE-40B6-47D0-93C1-88EC13ADC8AC}" destId="{AB3A8128-6C86-49B7-B5CC-0153888815E5}" srcOrd="0" destOrd="0" presId="urn:microsoft.com/office/officeart/2005/8/layout/orgChart1"/>
    <dgm:cxn modelId="{0541EB15-482D-4573-BCE8-166AE42FDA3A}" type="presParOf" srcId="{9A0FF10C-81C7-47CD-A320-768F2009480B}" destId="{1A917F9A-DDE6-4568-B35C-7FABCEF0A586}" srcOrd="5" destOrd="1" presId="urn:microsoft.com/office/officeart/2005/8/layout/orgChart1"/>
    <dgm:cxn modelId="{909AF9A6-790E-415C-A60A-641877CC14A7}" type="presParOf" srcId="{1A917F9A-DDE6-4568-B35C-7FABCEF0A586}" destId="{FA949B67-3DB7-47FA-97C9-4A653E762F22}" srcOrd="0" destOrd="5" presId="urn:microsoft.com/office/officeart/2005/8/layout/orgChart1"/>
    <dgm:cxn modelId="{D1474883-DDA9-44BB-9612-B3F2A91987E8}" type="presOf" srcId="{CF717C8A-B40B-4AFF-BF49-65ABB7DF8190}" destId="{FA949B67-3DB7-47FA-97C9-4A653E762F22}" srcOrd="0" destOrd="0" presId="urn:microsoft.com/office/officeart/2005/8/layout/orgChart1"/>
    <dgm:cxn modelId="{584CB6B2-3028-4329-85FC-33E131B528FB}" type="presParOf" srcId="{FA949B67-3DB7-47FA-97C9-4A653E762F22}" destId="{7D64F4A3-0E55-47AC-A59B-9D5A9DC25552}" srcOrd="0" destOrd="0" presId="urn:microsoft.com/office/officeart/2005/8/layout/orgChart1"/>
    <dgm:cxn modelId="{03AA353E-89C8-4C38-AB39-FF1EF19A48E5}" type="presOf" srcId="{CF717C8A-B40B-4AFF-BF49-65ABB7DF8190}" destId="{7D64F4A3-0E55-47AC-A59B-9D5A9DC25552}" srcOrd="0" destOrd="0" presId="urn:microsoft.com/office/officeart/2005/8/layout/orgChart1"/>
    <dgm:cxn modelId="{10E25DA8-EA14-484B-A42E-5D15ED1F2491}" type="presParOf" srcId="{FA949B67-3DB7-47FA-97C9-4A653E762F22}" destId="{5667CB49-EC34-46BC-AD2D-72F3BD95D049}" srcOrd="1" destOrd="0" presId="urn:microsoft.com/office/officeart/2005/8/layout/orgChart1"/>
    <dgm:cxn modelId="{5DA86E80-6D93-44A0-94CD-A65B95C471B4}" type="presOf" srcId="{CF717C8A-B40B-4AFF-BF49-65ABB7DF8190}" destId="{5667CB49-EC34-46BC-AD2D-72F3BD95D049}" srcOrd="0" destOrd="0" presId="urn:microsoft.com/office/officeart/2005/8/layout/orgChart1"/>
    <dgm:cxn modelId="{FF22A457-DDF9-41E2-8CA6-27C688EBD0DD}" type="presParOf" srcId="{1A917F9A-DDE6-4568-B35C-7FABCEF0A586}" destId="{EB3A10DA-2FA4-4DAD-8341-8078D7F83716}" srcOrd="1" destOrd="5" presId="urn:microsoft.com/office/officeart/2005/8/layout/orgChart1"/>
    <dgm:cxn modelId="{9D7FB700-BDE3-4F9B-8AFC-AA0A488E4127}" type="presParOf" srcId="{1A917F9A-DDE6-4568-B35C-7FABCEF0A586}" destId="{B05C5608-85C8-433E-A928-1755312B673B}" srcOrd="2" destOrd="5" presId="urn:microsoft.com/office/officeart/2005/8/layout/orgChart1"/>
    <dgm:cxn modelId="{419E497A-101A-47E6-A38F-8003B097EE07}" type="presParOf" srcId="{F728C3E8-5128-4BB6-90CC-A86769ECE335}" destId="{0E819307-1B4E-434E-BA76-D5A4192B0663}" srcOrd="2" destOrd="0" presId="urn:microsoft.com/office/officeart/2005/8/layout/orgChart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080000" cy="3810000"/>
        <a:chOff x="0" y="0"/>
        <a:chExt cx="5080000" cy="3810000"/>
      </a:xfrm>
    </dsp:grpSpPr>
    <dsp:sp modelId="{F3596884-C09F-4C70-900E-D61864BED5F1}">
      <dsp:nvSpPr>
        <dsp:cNvPr id="5" name="空心弧 4"/>
        <dsp:cNvSpPr/>
      </dsp:nvSpPr>
      <dsp:spPr bwMode="white">
        <a:xfrm>
          <a:off x="986525" y="351525"/>
          <a:ext cx="3106949" cy="3106949"/>
        </a:xfrm>
        <a:prstGeom prst="blockArc">
          <a:avLst>
            <a:gd name="adj1" fmla="val 16199999"/>
            <a:gd name="adj2" fmla="val 19800000"/>
            <a:gd name="adj3" fmla="val 3847"/>
          </a:avLst>
        </a:prstGeom>
      </dsp:spPr>
      <dsp:style>
        <a:lnRef idx="0">
          <a:schemeClr val="accent1">
            <a:tint val="60000"/>
          </a:schemeClr>
        </a:lnRef>
        <a:fillRef idx="1">
          <a:schemeClr val="accent1">
            <a:tint val="60000"/>
          </a:schemeClr>
        </a:fillRef>
        <a:effectRef idx="0">
          <a:scrgbClr r="0" g="0" b="0"/>
        </a:effectRef>
        <a:fontRef idx="minor">
          <a:schemeClr val="lt1"/>
        </a:fontRef>
      </dsp:style>
      <dsp:txXfrm>
        <a:off x="986525" y="351525"/>
        <a:ext cx="3106949" cy="3106949"/>
      </dsp:txXfrm>
    </dsp:sp>
    <dsp:sp modelId="{15715456-3418-4DF0-AF3A-DA59307B110D}">
      <dsp:nvSpPr>
        <dsp:cNvPr id="7" name="空心弧 6"/>
        <dsp:cNvSpPr/>
      </dsp:nvSpPr>
      <dsp:spPr bwMode="white">
        <a:xfrm>
          <a:off x="986525" y="351525"/>
          <a:ext cx="3106949" cy="3106949"/>
        </a:xfrm>
        <a:prstGeom prst="blockArc">
          <a:avLst>
            <a:gd name="adj1" fmla="val 19800000"/>
            <a:gd name="adj2" fmla="val 1800000"/>
            <a:gd name="adj3" fmla="val 3847"/>
          </a:avLst>
        </a:prstGeom>
      </dsp:spPr>
      <dsp:style>
        <a:lnRef idx="0">
          <a:schemeClr val="accent1">
            <a:tint val="60000"/>
          </a:schemeClr>
        </a:lnRef>
        <a:fillRef idx="1">
          <a:schemeClr val="accent1">
            <a:tint val="60000"/>
          </a:schemeClr>
        </a:fillRef>
        <a:effectRef idx="0">
          <a:scrgbClr r="0" g="0" b="0"/>
        </a:effectRef>
        <a:fontRef idx="minor">
          <a:schemeClr val="lt1"/>
        </a:fontRef>
      </dsp:style>
      <dsp:txXfrm>
        <a:off x="986525" y="351525"/>
        <a:ext cx="3106949" cy="3106949"/>
      </dsp:txXfrm>
    </dsp:sp>
    <dsp:sp modelId="{EBDCA107-8C73-4044-AC95-50DA28B759A8}">
      <dsp:nvSpPr>
        <dsp:cNvPr id="9" name="空心弧 8"/>
        <dsp:cNvSpPr/>
      </dsp:nvSpPr>
      <dsp:spPr bwMode="white">
        <a:xfrm>
          <a:off x="986525" y="351525"/>
          <a:ext cx="3106949" cy="3106949"/>
        </a:xfrm>
        <a:prstGeom prst="blockArc">
          <a:avLst>
            <a:gd name="adj1" fmla="val 1800000"/>
            <a:gd name="adj2" fmla="val 5400000"/>
            <a:gd name="adj3" fmla="val 3847"/>
          </a:avLst>
        </a:prstGeom>
      </dsp:spPr>
      <dsp:style>
        <a:lnRef idx="0">
          <a:schemeClr val="accent1">
            <a:tint val="60000"/>
          </a:schemeClr>
        </a:lnRef>
        <a:fillRef idx="1">
          <a:schemeClr val="accent1">
            <a:tint val="60000"/>
          </a:schemeClr>
        </a:fillRef>
        <a:effectRef idx="0">
          <a:scrgbClr r="0" g="0" b="0"/>
        </a:effectRef>
        <a:fontRef idx="minor">
          <a:schemeClr val="lt1"/>
        </a:fontRef>
      </dsp:style>
      <dsp:txXfrm>
        <a:off x="986525" y="351525"/>
        <a:ext cx="3106949" cy="3106949"/>
      </dsp:txXfrm>
    </dsp:sp>
    <dsp:sp modelId="{B5FF6E04-452A-4146-97F4-3BC94EB5BB87}">
      <dsp:nvSpPr>
        <dsp:cNvPr id="11" name="空心弧 10"/>
        <dsp:cNvSpPr/>
      </dsp:nvSpPr>
      <dsp:spPr bwMode="white">
        <a:xfrm>
          <a:off x="986525" y="351525"/>
          <a:ext cx="3106949" cy="3106949"/>
        </a:xfrm>
        <a:prstGeom prst="blockArc">
          <a:avLst>
            <a:gd name="adj1" fmla="val 5400000"/>
            <a:gd name="adj2" fmla="val 9000000"/>
            <a:gd name="adj3" fmla="val 3847"/>
          </a:avLst>
        </a:prstGeom>
      </dsp:spPr>
      <dsp:style>
        <a:lnRef idx="0">
          <a:schemeClr val="accent1">
            <a:tint val="60000"/>
          </a:schemeClr>
        </a:lnRef>
        <a:fillRef idx="1">
          <a:schemeClr val="accent1">
            <a:tint val="60000"/>
          </a:schemeClr>
        </a:fillRef>
        <a:effectRef idx="0">
          <a:scrgbClr r="0" g="0" b="0"/>
        </a:effectRef>
        <a:fontRef idx="minor">
          <a:schemeClr val="lt1"/>
        </a:fontRef>
      </dsp:style>
      <dsp:txXfrm>
        <a:off x="986525" y="351525"/>
        <a:ext cx="3106949" cy="3106949"/>
      </dsp:txXfrm>
    </dsp:sp>
    <dsp:sp modelId="{A4942EF9-EA7C-4533-A9B5-5BF1D7DE2920}">
      <dsp:nvSpPr>
        <dsp:cNvPr id="13" name="空心弧 12"/>
        <dsp:cNvSpPr/>
      </dsp:nvSpPr>
      <dsp:spPr bwMode="white">
        <a:xfrm>
          <a:off x="986525" y="351525"/>
          <a:ext cx="3106949" cy="3106949"/>
        </a:xfrm>
        <a:prstGeom prst="blockArc">
          <a:avLst>
            <a:gd name="adj1" fmla="val 9000000"/>
            <a:gd name="adj2" fmla="val 12600000"/>
            <a:gd name="adj3" fmla="val 3847"/>
          </a:avLst>
        </a:prstGeom>
      </dsp:spPr>
      <dsp:style>
        <a:lnRef idx="0">
          <a:schemeClr val="accent1">
            <a:tint val="60000"/>
          </a:schemeClr>
        </a:lnRef>
        <a:fillRef idx="1">
          <a:schemeClr val="accent1">
            <a:tint val="60000"/>
          </a:schemeClr>
        </a:fillRef>
        <a:effectRef idx="0">
          <a:scrgbClr r="0" g="0" b="0"/>
        </a:effectRef>
        <a:fontRef idx="minor">
          <a:schemeClr val="lt1"/>
        </a:fontRef>
      </dsp:style>
      <dsp:txXfrm>
        <a:off x="986525" y="351525"/>
        <a:ext cx="3106949" cy="3106949"/>
      </dsp:txXfrm>
    </dsp:sp>
    <dsp:sp modelId="{9F132A80-084E-492A-BA35-66D47B7CA541}">
      <dsp:nvSpPr>
        <dsp:cNvPr id="15" name="空心弧 14"/>
        <dsp:cNvSpPr/>
      </dsp:nvSpPr>
      <dsp:spPr bwMode="white">
        <a:xfrm>
          <a:off x="986525" y="351525"/>
          <a:ext cx="3106949" cy="3106949"/>
        </a:xfrm>
        <a:prstGeom prst="blockArc">
          <a:avLst>
            <a:gd name="adj1" fmla="val 12600000"/>
            <a:gd name="adj2" fmla="val 16199999"/>
            <a:gd name="adj3" fmla="val 3847"/>
          </a:avLst>
        </a:prstGeom>
      </dsp:spPr>
      <dsp:style>
        <a:lnRef idx="0">
          <a:schemeClr val="accent1">
            <a:tint val="60000"/>
          </a:schemeClr>
        </a:lnRef>
        <a:fillRef idx="1">
          <a:schemeClr val="accent1">
            <a:tint val="60000"/>
          </a:schemeClr>
        </a:fillRef>
        <a:effectRef idx="0">
          <a:scrgbClr r="0" g="0" b="0"/>
        </a:effectRef>
        <a:fontRef idx="minor">
          <a:schemeClr val="lt1"/>
        </a:fontRef>
      </dsp:style>
      <dsp:txXfrm>
        <a:off x="986525" y="351525"/>
        <a:ext cx="3106949" cy="3106949"/>
      </dsp:txXfrm>
    </dsp:sp>
    <dsp:sp modelId="{BADECBB5-37EA-4668-8A2F-BD2C2902F22A}">
      <dsp:nvSpPr>
        <dsp:cNvPr id="3" name="椭圆 2"/>
        <dsp:cNvSpPr/>
      </dsp:nvSpPr>
      <dsp:spPr bwMode="white">
        <a:xfrm>
          <a:off x="1879238" y="1244238"/>
          <a:ext cx="1321524" cy="1321524"/>
        </a:xfrm>
        <a:prstGeom prst="ellipse">
          <a:avLst/>
        </a:prstGeom>
      </dsp:spPr>
      <dsp:style>
        <a:lnRef idx="2">
          <a:schemeClr val="lt1"/>
        </a:lnRef>
        <a:fillRef idx="1">
          <a:schemeClr val="accent1"/>
        </a:fillRef>
        <a:effectRef idx="0">
          <a:scrgbClr r="0" g="0" b="0"/>
        </a:effectRef>
        <a:fontRef idx="minor">
          <a:schemeClr val="lt1"/>
        </a:fontRef>
      </dsp:style>
      <dsp:txBody>
        <a:bodyPr vert="horz" wrap="square" lIns="25400" tIns="25400" rIns="25400" bIns="25400" anchor="ctr"/>
        <a:lstStyle>
          <a:lvl1pPr algn="ctr">
            <a:defRPr sz="2000"/>
          </a:lvl1pPr>
          <a:lvl2pPr marL="114300" indent="-114300" algn="ctr">
            <a:defRPr sz="1500"/>
          </a:lvl2pPr>
          <a:lvl3pPr marL="228600" indent="-114300" algn="ctr">
            <a:defRPr sz="1500"/>
          </a:lvl3pPr>
          <a:lvl4pPr marL="342900" indent="-114300" algn="ctr">
            <a:defRPr sz="1500"/>
          </a:lvl4pPr>
          <a:lvl5pPr marL="457200" indent="-114300" algn="ctr">
            <a:defRPr sz="1500"/>
          </a:lvl5pPr>
          <a:lvl6pPr marL="571500" indent="-114300" algn="ctr">
            <a:defRPr sz="1500"/>
          </a:lvl6pPr>
          <a:lvl7pPr marL="685800" indent="-114300" algn="ctr">
            <a:defRPr sz="1500"/>
          </a:lvl7pPr>
          <a:lvl8pPr marL="800100" indent="-114300" algn="ctr">
            <a:defRPr sz="1500"/>
          </a:lvl8pPr>
          <a:lvl9pPr marL="914400" indent="-114300" algn="ctr">
            <a:defRPr sz="1500"/>
          </a:lvl9pPr>
        </a:lstStyle>
        <a:p>
          <a:pPr lvl="0">
            <a:lnSpc>
              <a:spcPct val="100000"/>
            </a:lnSpc>
            <a:spcBef>
              <a:spcPct val="0"/>
            </a:spcBef>
            <a:spcAft>
              <a:spcPct val="35000"/>
            </a:spcAft>
          </a:pPr>
          <a:r>
            <a:rPr lang="en-US" altLang="zh-CN"/>
            <a:t>Skin</a:t>
          </a:r>
          <a:endParaRPr lang="en-US" altLang="zh-CN"/>
        </a:p>
        <a:p>
          <a:pPr lvl="0">
            <a:lnSpc>
              <a:spcPct val="100000"/>
            </a:lnSpc>
            <a:spcBef>
              <a:spcPct val="0"/>
            </a:spcBef>
            <a:spcAft>
              <a:spcPct val="35000"/>
            </a:spcAft>
          </a:pPr>
          <a:r>
            <a:rPr lang="en-US" altLang="zh-CN"/>
            <a:t>Advi</a:t>
          </a:r>
          <a:r>
            <a:rPr lang="en-US" altLang="zh-CN"/>
            <a:t>s</a:t>
          </a:r>
          <a:r>
            <a:rPr lang="en-US" altLang="zh-CN"/>
            <a:t>or</a:t>
          </a:r>
          <a:endParaRPr lang="en-US" altLang="zh-CN"/>
        </a:p>
      </dsp:txBody>
      <dsp:txXfrm>
        <a:off x="1879238" y="1244238"/>
        <a:ext cx="1321524" cy="1321524"/>
      </dsp:txXfrm>
    </dsp:sp>
    <dsp:sp modelId="{C2E7DEFD-0505-42BF-AE13-B6483BF86572}">
      <dsp:nvSpPr>
        <dsp:cNvPr id="4" name="椭圆 3"/>
        <dsp:cNvSpPr/>
      </dsp:nvSpPr>
      <dsp:spPr bwMode="white">
        <a:xfrm>
          <a:off x="2077467" y="0"/>
          <a:ext cx="925067" cy="925067"/>
        </a:xfrm>
        <a:prstGeom prst="ellipse">
          <a:avLst/>
        </a:prstGeom>
      </dsp:spPr>
      <dsp:style>
        <a:lnRef idx="2">
          <a:schemeClr val="lt1"/>
        </a:lnRef>
        <a:fillRef idx="1">
          <a:schemeClr val="accent1"/>
        </a:fillRef>
        <a:effectRef idx="0">
          <a:scrgbClr r="0" g="0" b="0"/>
        </a:effectRef>
        <a:fontRef idx="minor">
          <a:schemeClr val="lt1"/>
        </a:fontRef>
      </dsp:style>
      <dsp:txBody>
        <a:bodyPr vert="horz" wrap="square" lIns="10160" tIns="10160" rIns="10160" bIns="1016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US" altLang="zh-CN"/>
            <a:t>AI </a:t>
          </a:r>
          <a:r>
            <a:rPr lang="en-US" altLang="zh-CN"/>
            <a:t>skin</a:t>
          </a:r>
          <a:endParaRPr lang="en-US" altLang="zh-CN"/>
        </a:p>
        <a:p>
          <a:pPr lvl="0">
            <a:lnSpc>
              <a:spcPct val="100000"/>
            </a:lnSpc>
            <a:spcBef>
              <a:spcPct val="0"/>
            </a:spcBef>
            <a:spcAft>
              <a:spcPct val="35000"/>
            </a:spcAft>
          </a:pPr>
          <a:r>
            <a:rPr lang="en-US" altLang="zh-CN"/>
            <a:t>analysis</a:t>
          </a:r>
          <a:endParaRPr lang="zh-CN" altLang="en-US"/>
        </a:p>
      </dsp:txBody>
      <dsp:txXfrm>
        <a:off x="2077467" y="0"/>
        <a:ext cx="925067" cy="925067"/>
      </dsp:txXfrm>
    </dsp:sp>
    <dsp:sp modelId="{44F31994-0027-4DC3-B39E-FEE01FB1A852}">
      <dsp:nvSpPr>
        <dsp:cNvPr id="6" name="椭圆 5"/>
        <dsp:cNvSpPr/>
      </dsp:nvSpPr>
      <dsp:spPr bwMode="white">
        <a:xfrm>
          <a:off x="3326679" y="721233"/>
          <a:ext cx="925067" cy="925067"/>
        </a:xfrm>
        <a:prstGeom prst="ellipse">
          <a:avLst/>
        </a:prstGeom>
      </dsp:spPr>
      <dsp:style>
        <a:lnRef idx="2">
          <a:schemeClr val="lt1"/>
        </a:lnRef>
        <a:fillRef idx="1">
          <a:schemeClr val="accent1"/>
        </a:fillRef>
        <a:effectRef idx="0">
          <a:scrgbClr r="0" g="0" b="0"/>
        </a:effectRef>
        <a:fontRef idx="minor">
          <a:schemeClr val="lt1"/>
        </a:fontRef>
      </dsp:style>
      <dsp:txBody>
        <a:bodyPr vert="horz" wrap="square" lIns="10160" tIns="10160" rIns="10160" bIns="1016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US" altLang="zh-CN"/>
            <a:t>Online</a:t>
          </a:r>
          <a:endParaRPr lang="en-US" altLang="zh-CN"/>
        </a:p>
        <a:p>
          <a:pPr lvl="0">
            <a:lnSpc>
              <a:spcPct val="100000"/>
            </a:lnSpc>
            <a:spcBef>
              <a:spcPct val="0"/>
            </a:spcBef>
            <a:spcAft>
              <a:spcPct val="35000"/>
            </a:spcAft>
          </a:pPr>
          <a:r>
            <a:rPr lang="en-US" altLang="zh-CN"/>
            <a:t>consultation</a:t>
          </a:r>
          <a:endParaRPr lang="zh-CN" altLang="en-US"/>
        </a:p>
      </dsp:txBody>
      <dsp:txXfrm>
        <a:off x="3326679" y="721233"/>
        <a:ext cx="925067" cy="925067"/>
      </dsp:txXfrm>
    </dsp:sp>
    <dsp:sp modelId="{0DA4B7DF-BD6B-46E8-940A-69050C019BB3}">
      <dsp:nvSpPr>
        <dsp:cNvPr id="8" name="椭圆 7"/>
        <dsp:cNvSpPr/>
      </dsp:nvSpPr>
      <dsp:spPr bwMode="white">
        <a:xfrm>
          <a:off x="3326679" y="2163700"/>
          <a:ext cx="925067" cy="925067"/>
        </a:xfrm>
        <a:prstGeom prst="ellipse">
          <a:avLst/>
        </a:prstGeom>
      </dsp:spPr>
      <dsp:style>
        <a:lnRef idx="2">
          <a:schemeClr val="lt1"/>
        </a:lnRef>
        <a:fillRef idx="1">
          <a:schemeClr val="accent1"/>
        </a:fillRef>
        <a:effectRef idx="0">
          <a:scrgbClr r="0" g="0" b="0"/>
        </a:effectRef>
        <a:fontRef idx="minor">
          <a:schemeClr val="lt1"/>
        </a:fontRef>
      </dsp:style>
      <dsp:txBody>
        <a:bodyPr vert="horz" wrap="square" lIns="10160" tIns="10160" rIns="10160" bIns="1016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US" altLang="zh-CN"/>
            <a:t>E-commerce</a:t>
          </a:r>
          <a:endParaRPr lang="en-US" altLang="zh-CN"/>
        </a:p>
        <a:p>
          <a:pPr lvl="0">
            <a:lnSpc>
              <a:spcPct val="100000"/>
            </a:lnSpc>
            <a:spcBef>
              <a:spcPct val="0"/>
            </a:spcBef>
            <a:spcAft>
              <a:spcPct val="35000"/>
            </a:spcAft>
          </a:pPr>
          <a:r>
            <a:rPr lang="en-US" altLang="zh-CN"/>
            <a:t>shopping</a:t>
          </a:r>
          <a:endParaRPr lang="en-US" altLang="zh-CN"/>
        </a:p>
        <a:p>
          <a:pPr lvl="0">
            <a:lnSpc>
              <a:spcPct val="100000"/>
            </a:lnSpc>
            <a:spcBef>
              <a:spcPct val="0"/>
            </a:spcBef>
            <a:spcAft>
              <a:spcPct val="35000"/>
            </a:spcAft>
          </a:pPr>
          <a:r>
            <a:rPr lang="en-US" altLang="zh-CN"/>
            <a:t>guidance</a:t>
          </a:r>
          <a:endParaRPr lang="zh-CN" altLang="en-US"/>
        </a:p>
      </dsp:txBody>
      <dsp:txXfrm>
        <a:off x="3326679" y="2163700"/>
        <a:ext cx="925067" cy="925067"/>
      </dsp:txXfrm>
    </dsp:sp>
    <dsp:sp modelId="{F539A410-44AA-4A02-9F1B-997DD2B71E87}">
      <dsp:nvSpPr>
        <dsp:cNvPr id="10" name="椭圆 9"/>
        <dsp:cNvSpPr/>
      </dsp:nvSpPr>
      <dsp:spPr bwMode="white">
        <a:xfrm>
          <a:off x="2077467" y="2884933"/>
          <a:ext cx="925067" cy="925067"/>
        </a:xfrm>
        <a:prstGeom prst="ellipse">
          <a:avLst/>
        </a:prstGeom>
      </dsp:spPr>
      <dsp:style>
        <a:lnRef idx="2">
          <a:schemeClr val="lt1"/>
        </a:lnRef>
        <a:fillRef idx="1">
          <a:schemeClr val="accent1"/>
        </a:fillRef>
        <a:effectRef idx="0">
          <a:scrgbClr r="0" g="0" b="0"/>
        </a:effectRef>
        <a:fontRef idx="minor">
          <a:schemeClr val="lt1"/>
        </a:fontRef>
      </dsp:style>
      <dsp:txBody>
        <a:bodyPr vert="horz" wrap="square" lIns="10160" tIns="10160" rIns="10160" bIns="1016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US" altLang="zh-CN"/>
            <a:t>Data</a:t>
          </a:r>
          <a:endParaRPr lang="en-US" altLang="zh-CN"/>
        </a:p>
        <a:p>
          <a:pPr lvl="0">
            <a:lnSpc>
              <a:spcPct val="100000"/>
            </a:lnSpc>
            <a:spcBef>
              <a:spcPct val="0"/>
            </a:spcBef>
            <a:spcAft>
              <a:spcPct val="35000"/>
            </a:spcAft>
          </a:pPr>
          <a:r>
            <a:rPr lang="en-US" altLang="zh-CN"/>
            <a:t>loop</a:t>
          </a:r>
          <a:endParaRPr lang="zh-CN" altLang="en-US"/>
        </a:p>
      </dsp:txBody>
      <dsp:txXfrm>
        <a:off x="2077467" y="2884933"/>
        <a:ext cx="925067" cy="925067"/>
      </dsp:txXfrm>
    </dsp:sp>
    <dsp:sp modelId="{1CD2B677-D52C-4DAA-9673-8790A8F47AF0}">
      <dsp:nvSpPr>
        <dsp:cNvPr id="12" name="椭圆 11"/>
        <dsp:cNvSpPr/>
      </dsp:nvSpPr>
      <dsp:spPr bwMode="white">
        <a:xfrm>
          <a:off x="828254" y="2163700"/>
          <a:ext cx="925067" cy="925067"/>
        </a:xfrm>
        <a:prstGeom prst="ellipse">
          <a:avLst/>
        </a:prstGeom>
      </dsp:spPr>
      <dsp:style>
        <a:lnRef idx="2">
          <a:schemeClr val="lt1"/>
        </a:lnRef>
        <a:fillRef idx="1">
          <a:schemeClr val="accent1"/>
        </a:fillRef>
        <a:effectRef idx="0">
          <a:scrgbClr r="0" g="0" b="0"/>
        </a:effectRef>
        <a:fontRef idx="minor">
          <a:schemeClr val="lt1"/>
        </a:fontRef>
      </dsp:style>
      <dsp:txBody>
        <a:bodyPr vert="horz" wrap="square" lIns="10160" tIns="10160" rIns="10160" bIns="1016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US"/>
            <a:t>Brand</a:t>
          </a:r>
          <a:endParaRPr lang="en-US"/>
        </a:p>
        <a:p>
          <a:pPr lvl="0">
            <a:lnSpc>
              <a:spcPct val="100000"/>
            </a:lnSpc>
            <a:spcBef>
              <a:spcPct val="0"/>
            </a:spcBef>
            <a:spcAft>
              <a:spcPct val="35000"/>
            </a:spcAft>
          </a:pPr>
          <a:r>
            <a:rPr lang="en-US"/>
            <a:t>cooperat</a:t>
          </a:r>
          <a:r>
            <a:rPr lang="en-US"/>
            <a:t>ion</a:t>
          </a:r>
          <a:endParaRPr altLang="en-US"/>
        </a:p>
      </dsp:txBody>
      <dsp:txXfrm>
        <a:off x="828254" y="2163700"/>
        <a:ext cx="925067" cy="925067"/>
      </dsp:txXfrm>
    </dsp:sp>
    <dsp:sp modelId="{8F1CCC49-F3E0-4734-88AD-4045BA61FFA8}">
      <dsp:nvSpPr>
        <dsp:cNvPr id="14" name="椭圆 13"/>
        <dsp:cNvSpPr/>
      </dsp:nvSpPr>
      <dsp:spPr bwMode="white">
        <a:xfrm>
          <a:off x="828254" y="721233"/>
          <a:ext cx="925067" cy="925067"/>
        </a:xfrm>
        <a:prstGeom prst="ellipse">
          <a:avLst/>
        </a:prstGeom>
      </dsp:spPr>
      <dsp:style>
        <a:lnRef idx="2">
          <a:schemeClr val="lt1"/>
        </a:lnRef>
        <a:fillRef idx="1">
          <a:schemeClr val="accent1"/>
        </a:fillRef>
        <a:effectRef idx="0">
          <a:scrgbClr r="0" g="0" b="0"/>
        </a:effectRef>
        <a:fontRef idx="minor">
          <a:schemeClr val="lt1"/>
        </a:fontRef>
      </dsp:style>
      <dsp:txBody>
        <a:bodyPr vert="horz" wrap="square" lIns="10160" tIns="10160" rIns="10160" bIns="1016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US"/>
            <a:t>User</a:t>
          </a:r>
          <a:endParaRPr lang="en-US"/>
        </a:p>
        <a:p>
          <a:pPr lvl="0">
            <a:lnSpc>
              <a:spcPct val="100000"/>
            </a:lnSpc>
            <a:spcBef>
              <a:spcPct val="0"/>
            </a:spcBef>
            <a:spcAft>
              <a:spcPct val="35000"/>
            </a:spcAft>
          </a:pPr>
          <a:r>
            <a:rPr lang="en-US"/>
            <a:t>payment</a:t>
          </a:r>
          <a:endParaRPr altLang="en-US"/>
        </a:p>
      </dsp:txBody>
      <dsp:txXfrm>
        <a:off x="828254" y="721233"/>
        <a:ext cx="925067" cy="925067"/>
      </dsp:txXfrm>
    </dsp:sp>
  </dsp:spTree>
</dsp:drawing>
</file>

<file path=word/diagrams/drawing2.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080000" cy="3810000"/>
        <a:chOff x="0" y="0"/>
        <a:chExt cx="5080000" cy="3810000"/>
      </a:xfrm>
    </dsp:grpSpPr>
    <dsp:sp modelId="{AD6D71B4-B4CD-425D-8F41-4F041180B5A5}">
      <dsp:nvSpPr>
        <dsp:cNvPr id="3" name="梯形 2"/>
        <dsp:cNvSpPr/>
      </dsp:nvSpPr>
      <dsp:spPr bwMode="white">
        <a:xfrm>
          <a:off x="1905000" y="0"/>
          <a:ext cx="1270000" cy="952500"/>
        </a:xfrm>
        <a:prstGeom prst="trapezoid">
          <a:avLst>
            <a:gd name="adj" fmla="val 66666"/>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11430" tIns="11430" rIns="11430" bIns="11430" anchor="ctr"/>
        <a:lstStyle>
          <a:lvl1pPr algn="ctr">
            <a:defRPr sz="1500"/>
          </a:lvl1pPr>
          <a:lvl2pPr marL="57150" indent="-57150" algn="ctr">
            <a:defRPr sz="1100"/>
          </a:lvl2pPr>
          <a:lvl3pPr marL="114300" indent="-57150" algn="ctr">
            <a:defRPr sz="1100"/>
          </a:lvl3pPr>
          <a:lvl4pPr marL="171450" indent="-57150" algn="ctr">
            <a:defRPr sz="1100"/>
          </a:lvl4pPr>
          <a:lvl5pPr marL="228600" indent="-57150" algn="ctr">
            <a:defRPr sz="1100"/>
          </a:lvl5pPr>
          <a:lvl6pPr marL="285750" indent="-57150" algn="ctr">
            <a:defRPr sz="1100"/>
          </a:lvl6pPr>
          <a:lvl7pPr marL="342900" indent="-57150" algn="ctr">
            <a:defRPr sz="1100"/>
          </a:lvl7pPr>
          <a:lvl8pPr marL="400050" indent="-57150" algn="ctr">
            <a:defRPr sz="1100"/>
          </a:lvl8pPr>
          <a:lvl9pPr marL="457200" indent="-57150" algn="ctr">
            <a:defRPr sz="1100"/>
          </a:lvl9pPr>
        </a:lstStyle>
        <a:p>
          <a:pPr lvl="0">
            <a:lnSpc>
              <a:spcPct val="100000"/>
            </a:lnSpc>
            <a:spcBef>
              <a:spcPct val="0"/>
            </a:spcBef>
            <a:spcAft>
              <a:spcPct val="35000"/>
            </a:spcAft>
          </a:pPr>
          <a:r>
            <a:rPr lang="en-US" altLang="zh-CN" sz="900">
              <a:solidFill>
                <a:schemeClr val="tx1"/>
              </a:solidFill>
            </a:rPr>
            <a:t>Online</a:t>
          </a:r>
          <a:endParaRPr lang="en-US" altLang="zh-CN" sz="900">
            <a:solidFill>
              <a:schemeClr val="tx1"/>
            </a:solidFill>
          </a:endParaRPr>
        </a:p>
        <a:p>
          <a:pPr lvl="0">
            <a:lnSpc>
              <a:spcPct val="100000"/>
            </a:lnSpc>
            <a:spcBef>
              <a:spcPct val="0"/>
            </a:spcBef>
            <a:spcAft>
              <a:spcPct val="35000"/>
            </a:spcAft>
          </a:pPr>
          <a:r>
            <a:rPr lang="en-US" altLang="zh-CN" sz="900">
              <a:solidFill>
                <a:schemeClr val="tx1"/>
              </a:solidFill>
            </a:rPr>
            <a:t>Consultation</a:t>
          </a:r>
          <a:endParaRPr lang="en-US" altLang="zh-CN" sz="900">
            <a:solidFill>
              <a:schemeClr val="tx1"/>
            </a:solidFill>
          </a:endParaRPr>
        </a:p>
        <a:p>
          <a:pPr lvl="0">
            <a:lnSpc>
              <a:spcPct val="100000"/>
            </a:lnSpc>
            <a:spcBef>
              <a:spcPct val="0"/>
            </a:spcBef>
            <a:spcAft>
              <a:spcPct val="35000"/>
            </a:spcAft>
          </a:pPr>
          <a:r>
            <a:rPr lang="en-US" altLang="zh-CN" sz="900">
              <a:solidFill>
                <a:schemeClr val="tx1"/>
              </a:solidFill>
            </a:rPr>
            <a:t>Fees</a:t>
          </a:r>
          <a:endParaRPr lang="zh-CN" altLang="en-US" sz="900">
            <a:solidFill>
              <a:schemeClr val="tx1"/>
            </a:solidFill>
          </a:endParaRPr>
        </a:p>
      </dsp:txBody>
      <dsp:txXfrm>
        <a:off x="1905000" y="0"/>
        <a:ext cx="1270000" cy="952500"/>
      </dsp:txXfrm>
    </dsp:sp>
    <dsp:sp modelId="{B062758B-585A-4490-8407-FEF3B1DB90B9}">
      <dsp:nvSpPr>
        <dsp:cNvPr id="4" name="梯形 3"/>
        <dsp:cNvSpPr/>
      </dsp:nvSpPr>
      <dsp:spPr bwMode="white">
        <a:xfrm>
          <a:off x="1270000" y="952500"/>
          <a:ext cx="2540000" cy="952500"/>
        </a:xfrm>
        <a:prstGeom prst="trapezoid">
          <a:avLst>
            <a:gd name="adj" fmla="val 66666"/>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19050" tIns="19050" rIns="19050" bIns="19050" anchor="ctr"/>
        <a:lstStyle>
          <a:lvl1pPr algn="ctr">
            <a:defRPr sz="1500"/>
          </a:lvl1pPr>
          <a:lvl2pPr marL="57150" indent="-57150" algn="ctr">
            <a:defRPr sz="1100"/>
          </a:lvl2pPr>
          <a:lvl3pPr marL="114300" indent="-57150" algn="ctr">
            <a:defRPr sz="1100"/>
          </a:lvl3pPr>
          <a:lvl4pPr marL="171450" indent="-57150" algn="ctr">
            <a:defRPr sz="1100"/>
          </a:lvl4pPr>
          <a:lvl5pPr marL="228600" indent="-57150" algn="ctr">
            <a:defRPr sz="1100"/>
          </a:lvl5pPr>
          <a:lvl6pPr marL="285750" indent="-57150" algn="ctr">
            <a:defRPr sz="1100"/>
          </a:lvl6pPr>
          <a:lvl7pPr marL="342900" indent="-57150" algn="ctr">
            <a:defRPr sz="1100"/>
          </a:lvl7pPr>
          <a:lvl8pPr marL="400050" indent="-57150" algn="ctr">
            <a:defRPr sz="1100"/>
          </a:lvl8pPr>
          <a:lvl9pPr marL="457200" indent="-57150" algn="ctr">
            <a:defRPr sz="1100"/>
          </a:lvl9pPr>
        </a:lstStyle>
        <a:p>
          <a:pPr lvl="0">
            <a:lnSpc>
              <a:spcPct val="100000"/>
            </a:lnSpc>
            <a:spcBef>
              <a:spcPct val="0"/>
            </a:spcBef>
            <a:spcAft>
              <a:spcPct val="35000"/>
            </a:spcAft>
          </a:pPr>
          <a:r>
            <a:rPr lang="en-US" altLang="zh-CN">
              <a:solidFill>
                <a:schemeClr val="tx1"/>
              </a:solidFill>
            </a:rPr>
            <a:t>Premium</a:t>
          </a:r>
          <a:endParaRPr lang="en-US" altLang="zh-CN">
            <a:solidFill>
              <a:schemeClr val="tx1"/>
            </a:solidFill>
          </a:endParaRPr>
        </a:p>
        <a:p>
          <a:pPr lvl="0">
            <a:lnSpc>
              <a:spcPct val="100000"/>
            </a:lnSpc>
            <a:spcBef>
              <a:spcPct val="0"/>
            </a:spcBef>
            <a:spcAft>
              <a:spcPct val="35000"/>
            </a:spcAft>
          </a:pPr>
          <a:r>
            <a:rPr lang="en-US" altLang="zh-CN">
              <a:solidFill>
                <a:schemeClr val="tx1"/>
              </a:solidFill>
            </a:rPr>
            <a:t>Membership</a:t>
          </a:r>
          <a:endParaRPr lang="en-US" altLang="zh-CN">
            <a:solidFill>
              <a:schemeClr val="tx1"/>
            </a:solidFill>
          </a:endParaRPr>
        </a:p>
        <a:p>
          <a:pPr lvl="0">
            <a:lnSpc>
              <a:spcPct val="100000"/>
            </a:lnSpc>
            <a:spcBef>
              <a:spcPct val="0"/>
            </a:spcBef>
            <a:spcAft>
              <a:spcPct val="35000"/>
            </a:spcAft>
          </a:pPr>
          <a:r>
            <a:rPr lang="en-US" altLang="zh-CN">
              <a:solidFill>
                <a:schemeClr val="tx1"/>
              </a:solidFill>
            </a:rPr>
            <a:t>Subscriptions</a:t>
          </a:r>
          <a:endParaRPr lang="zh-CN" altLang="en-US">
            <a:solidFill>
              <a:schemeClr val="tx1"/>
            </a:solidFill>
          </a:endParaRPr>
        </a:p>
      </dsp:txBody>
      <dsp:txXfrm>
        <a:off x="1270000" y="952500"/>
        <a:ext cx="2540000" cy="952500"/>
      </dsp:txXfrm>
    </dsp:sp>
    <dsp:sp modelId="{DABEBFD1-85A7-4430-808F-CFAAD0FA3993}">
      <dsp:nvSpPr>
        <dsp:cNvPr id="5" name="梯形 4"/>
        <dsp:cNvSpPr/>
      </dsp:nvSpPr>
      <dsp:spPr bwMode="white">
        <a:xfrm>
          <a:off x="635000" y="1905000"/>
          <a:ext cx="3810000" cy="952500"/>
        </a:xfrm>
        <a:prstGeom prst="trapezoid">
          <a:avLst>
            <a:gd name="adj" fmla="val 66666"/>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19050" tIns="19050" rIns="19050" bIns="19050" anchor="ctr"/>
        <a:lstStyle>
          <a:lvl1pPr algn="ctr">
            <a:defRPr sz="1500"/>
          </a:lvl1pPr>
          <a:lvl2pPr marL="57150" indent="-57150" algn="ctr">
            <a:defRPr sz="1100"/>
          </a:lvl2pPr>
          <a:lvl3pPr marL="114300" indent="-57150" algn="ctr">
            <a:defRPr sz="1100"/>
          </a:lvl3pPr>
          <a:lvl4pPr marL="171450" indent="-57150" algn="ctr">
            <a:defRPr sz="1100"/>
          </a:lvl4pPr>
          <a:lvl5pPr marL="228600" indent="-57150" algn="ctr">
            <a:defRPr sz="1100"/>
          </a:lvl5pPr>
          <a:lvl6pPr marL="285750" indent="-57150" algn="ctr">
            <a:defRPr sz="1100"/>
          </a:lvl6pPr>
          <a:lvl7pPr marL="342900" indent="-57150" algn="ctr">
            <a:defRPr sz="1100"/>
          </a:lvl7pPr>
          <a:lvl8pPr marL="400050" indent="-57150" algn="ctr">
            <a:defRPr sz="1100"/>
          </a:lvl8pPr>
          <a:lvl9pPr marL="457200" indent="-57150" algn="ctr">
            <a:defRPr sz="1100"/>
          </a:lvl9pPr>
        </a:lstStyle>
        <a:p>
          <a:pPr lvl="0">
            <a:lnSpc>
              <a:spcPct val="100000"/>
            </a:lnSpc>
            <a:spcBef>
              <a:spcPct val="0"/>
            </a:spcBef>
            <a:spcAft>
              <a:spcPct val="35000"/>
            </a:spcAft>
          </a:pPr>
          <a:r>
            <a:rPr lang="en-US" altLang="zh-CN">
              <a:solidFill>
                <a:schemeClr val="tx1"/>
              </a:solidFill>
            </a:rPr>
            <a:t>E-</a:t>
          </a:r>
          <a:r>
            <a:rPr lang="en-US" altLang="zh-CN">
              <a:solidFill>
                <a:schemeClr val="tx1"/>
              </a:solidFill>
            </a:rPr>
            <a:t>commerce  </a:t>
          </a:r>
          <a:r>
            <a:rPr lang="en-US" altLang="zh-CN">
              <a:solidFill>
                <a:schemeClr val="tx1"/>
              </a:solidFill>
            </a:rPr>
            <a:t>Commission</a:t>
          </a:r>
          <a:endParaRPr lang="zh-CN" altLang="en-US">
            <a:solidFill>
              <a:schemeClr val="tx1"/>
            </a:solidFill>
          </a:endParaRPr>
        </a:p>
      </dsp:txBody>
      <dsp:txXfrm>
        <a:off x="635000" y="1905000"/>
        <a:ext cx="3810000" cy="952500"/>
      </dsp:txXfrm>
    </dsp:sp>
    <dsp:sp modelId="{0E3B3762-4E75-469C-BEA8-4BEF681C4676}">
      <dsp:nvSpPr>
        <dsp:cNvPr id="6" name="梯形 5"/>
        <dsp:cNvSpPr/>
      </dsp:nvSpPr>
      <dsp:spPr bwMode="white">
        <a:xfrm>
          <a:off x="0" y="2857500"/>
          <a:ext cx="5080000" cy="952500"/>
        </a:xfrm>
        <a:prstGeom prst="trapezoid">
          <a:avLst>
            <a:gd name="adj" fmla="val 66666"/>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19050" tIns="19050" rIns="19050" bIns="19050" anchor="ctr"/>
        <a:lstStyle>
          <a:lvl1pPr algn="ctr">
            <a:defRPr sz="1500"/>
          </a:lvl1pPr>
          <a:lvl2pPr marL="57150" indent="-57150" algn="ctr">
            <a:defRPr sz="1100"/>
          </a:lvl2pPr>
          <a:lvl3pPr marL="114300" indent="-57150" algn="ctr">
            <a:defRPr sz="1100"/>
          </a:lvl3pPr>
          <a:lvl4pPr marL="171450" indent="-57150" algn="ctr">
            <a:defRPr sz="1100"/>
          </a:lvl4pPr>
          <a:lvl5pPr marL="228600" indent="-57150" algn="ctr">
            <a:defRPr sz="1100"/>
          </a:lvl5pPr>
          <a:lvl6pPr marL="285750" indent="-57150" algn="ctr">
            <a:defRPr sz="1100"/>
          </a:lvl6pPr>
          <a:lvl7pPr marL="342900" indent="-57150" algn="ctr">
            <a:defRPr sz="1100"/>
          </a:lvl7pPr>
          <a:lvl8pPr marL="400050" indent="-57150" algn="ctr">
            <a:defRPr sz="1100"/>
          </a:lvl8pPr>
          <a:lvl9pPr marL="457200" indent="-57150" algn="ctr">
            <a:defRPr sz="1100"/>
          </a:lvl9pPr>
        </a:lstStyle>
        <a:p>
          <a:pPr lvl="0">
            <a:lnSpc>
              <a:spcPct val="100000"/>
            </a:lnSpc>
            <a:spcBef>
              <a:spcPct val="0"/>
            </a:spcBef>
            <a:spcAft>
              <a:spcPct val="35000"/>
            </a:spcAft>
          </a:pPr>
          <a:r>
            <a:rPr altLang="en-US">
              <a:solidFill>
                <a:schemeClr val="tx1"/>
              </a:solidFill>
            </a:rPr>
            <a:t>B</a:t>
          </a:r>
          <a:r>
            <a:rPr lang="en-US">
              <a:solidFill>
                <a:schemeClr val="tx1"/>
              </a:solidFill>
            </a:rPr>
            <a:t>rand </a:t>
          </a:r>
          <a:r>
            <a:rPr lang="en-US">
              <a:solidFill>
                <a:schemeClr val="tx1"/>
              </a:solidFill>
            </a:rPr>
            <a:t>Integration</a:t>
          </a:r>
          <a:endParaRPr lang="en-US">
            <a:solidFill>
              <a:schemeClr val="tx1"/>
            </a:solidFill>
          </a:endParaRPr>
        </a:p>
        <a:p>
          <a:pPr lvl="0">
            <a:lnSpc>
              <a:spcPct val="100000"/>
            </a:lnSpc>
            <a:spcBef>
              <a:spcPct val="0"/>
            </a:spcBef>
            <a:spcAft>
              <a:spcPct val="35000"/>
            </a:spcAft>
          </a:pPr>
          <a:r>
            <a:rPr lang="en-US">
              <a:solidFill>
                <a:schemeClr val="tx1"/>
              </a:solidFill>
            </a:rPr>
            <a:t>&amp;</a:t>
          </a:r>
          <a:endParaRPr lang="en-US">
            <a:solidFill>
              <a:schemeClr val="tx1"/>
            </a:solidFill>
          </a:endParaRPr>
        </a:p>
        <a:p>
          <a:pPr lvl="0">
            <a:lnSpc>
              <a:spcPct val="100000"/>
            </a:lnSpc>
            <a:spcBef>
              <a:spcPct val="0"/>
            </a:spcBef>
            <a:spcAft>
              <a:spcPct val="35000"/>
            </a:spcAft>
          </a:pPr>
          <a:r>
            <a:rPr lang="en-US">
              <a:solidFill>
                <a:schemeClr val="tx1"/>
              </a:solidFill>
            </a:rPr>
            <a:t>Marketing </a:t>
          </a:r>
          <a:r>
            <a:rPr lang="en-US">
              <a:solidFill>
                <a:schemeClr val="tx1"/>
              </a:solidFill>
            </a:rPr>
            <a:t>Services</a:t>
          </a:r>
          <a:endParaRPr lang="en-US">
            <a:solidFill>
              <a:schemeClr val="tx1"/>
            </a:solidFill>
          </a:endParaRPr>
        </a:p>
      </dsp:txBody>
      <dsp:txXfrm>
        <a:off x="0" y="2857500"/>
        <a:ext cx="5080000" cy="952500"/>
      </dsp:txXfrm>
    </dsp:sp>
  </dsp:spTree>
</dsp:drawing>
</file>

<file path=word/diagrams/drawing3.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3354893" cy="3711575"/>
        <a:chOff x="0" y="0"/>
        <a:chExt cx="3354893" cy="3711575"/>
      </a:xfrm>
    </dsp:grpSpPr>
    <dsp:sp modelId="{2B58B044-31E5-4900-BEF2-0561C35E9287}">
      <dsp:nvSpPr>
        <dsp:cNvPr id="3" name="环形箭头 2"/>
        <dsp:cNvSpPr/>
      </dsp:nvSpPr>
      <dsp:spPr bwMode="white">
        <a:xfrm>
          <a:off x="1997724" y="0"/>
          <a:ext cx="1786480" cy="1786752"/>
        </a:xfrm>
        <a:prstGeom prst="circularArrow">
          <a:avLst>
            <a:gd name="adj1" fmla="val 10980"/>
            <a:gd name="adj2" fmla="val 1142322"/>
            <a:gd name="adj3" fmla="val 4500000"/>
            <a:gd name="adj4" fmla="val 10800000"/>
            <a:gd name="adj5" fmla="val 12500"/>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1997724" y="0"/>
        <a:ext cx="1786480" cy="1786752"/>
      </dsp:txXfrm>
    </dsp:sp>
    <dsp:sp modelId="{868A1768-D971-44A0-9296-883AA6C351ED}">
      <dsp:nvSpPr>
        <dsp:cNvPr id="4" name="矩形 3"/>
        <dsp:cNvSpPr/>
      </dsp:nvSpPr>
      <dsp:spPr bwMode="white">
        <a:xfrm>
          <a:off x="2392595" y="645072"/>
          <a:ext cx="992713" cy="496238"/>
        </a:xfrm>
        <a:prstGeom prst="rect">
          <a:avLst/>
        </a:prstGeom>
      </dsp:spPr>
      <dsp:style>
        <a:lnRef idx="0">
          <a:schemeClr val="dk1">
            <a:alpha val="0"/>
          </a:schemeClr>
        </a:lnRef>
        <a:fillRef idx="0">
          <a:schemeClr val="lt1">
            <a:alpha val="0"/>
          </a:schemeClr>
        </a:fillRef>
        <a:effectRef idx="0">
          <a:scrgbClr r="0" g="0" b="0"/>
        </a:effectRef>
        <a:fontRef idx="minor"/>
      </dsp:style>
      <dsp:txBody>
        <a:bodyPr vert="horz" wrap="square" lIns="7620" tIns="7620" rIns="7620" bIns="762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en-US" altLang="zh-CN">
              <a:solidFill>
                <a:schemeClr val="tx1"/>
              </a:solidFill>
            </a:rPr>
            <a:t>Free </a:t>
          </a:r>
          <a:r>
            <a:rPr lang="en-US" altLang="zh-CN">
              <a:solidFill>
                <a:schemeClr val="tx1"/>
              </a:solidFill>
            </a:rPr>
            <a:t>users</a:t>
          </a:r>
          <a:endParaRPr lang="en-US" altLang="zh-CN">
            <a:solidFill>
              <a:schemeClr val="tx1"/>
            </a:solidFill>
          </a:endParaRPr>
        </a:p>
      </dsp:txBody>
      <dsp:txXfrm>
        <a:off x="2392595" y="645072"/>
        <a:ext cx="992713" cy="496238"/>
      </dsp:txXfrm>
    </dsp:sp>
    <dsp:sp modelId="{82F5C82C-3C8C-44AC-B495-DCAFE372B3B8}">
      <dsp:nvSpPr>
        <dsp:cNvPr id="5" name="形状 4"/>
        <dsp:cNvSpPr/>
      </dsp:nvSpPr>
      <dsp:spPr bwMode="white">
        <a:xfrm>
          <a:off x="1501536" y="1026622"/>
          <a:ext cx="1786480" cy="1786752"/>
        </a:xfrm>
        <a:prstGeom prst="leftCircularArrow">
          <a:avLst>
            <a:gd name="adj1" fmla="val 10980"/>
            <a:gd name="adj2" fmla="val 1142322"/>
            <a:gd name="adj3" fmla="val 6300000"/>
            <a:gd name="adj4" fmla="val 18900000"/>
            <a:gd name="adj5" fmla="val 12500"/>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1501536" y="1026622"/>
        <a:ext cx="1786480" cy="1786752"/>
      </dsp:txXfrm>
    </dsp:sp>
    <dsp:sp modelId="{A51B79B2-94EA-48E8-9F5B-CCC2F37FE992}">
      <dsp:nvSpPr>
        <dsp:cNvPr id="6" name="矩形 5"/>
        <dsp:cNvSpPr/>
      </dsp:nvSpPr>
      <dsp:spPr bwMode="white">
        <a:xfrm>
          <a:off x="1898419" y="1677632"/>
          <a:ext cx="992713" cy="496238"/>
        </a:xfrm>
        <a:prstGeom prst="rect">
          <a:avLst/>
        </a:prstGeom>
      </dsp:spPr>
      <dsp:style>
        <a:lnRef idx="0">
          <a:schemeClr val="dk1">
            <a:alpha val="0"/>
          </a:schemeClr>
        </a:lnRef>
        <a:fillRef idx="0">
          <a:schemeClr val="lt1">
            <a:alpha val="0"/>
          </a:schemeClr>
        </a:fillRef>
        <a:effectRef idx="0">
          <a:scrgbClr r="0" g="0" b="0"/>
        </a:effectRef>
        <a:fontRef idx="minor"/>
      </dsp:style>
      <dsp:txBody>
        <a:bodyPr vert="horz" wrap="square" lIns="7620" tIns="7620" rIns="7620" bIns="762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en-US" altLang="zh-CN">
              <a:solidFill>
                <a:schemeClr val="tx1"/>
              </a:solidFill>
            </a:rPr>
            <a:t>Trial users</a:t>
          </a:r>
          <a:endParaRPr lang="en-US" altLang="zh-CN">
            <a:solidFill>
              <a:schemeClr val="tx1"/>
            </a:solidFill>
          </a:endParaRPr>
        </a:p>
      </dsp:txBody>
      <dsp:txXfrm>
        <a:off x="1898419" y="1677632"/>
        <a:ext cx="992713" cy="496238"/>
      </dsp:txXfrm>
    </dsp:sp>
    <dsp:sp modelId="{D8B093BC-2378-41D5-BB68-CF2D7261907B}">
      <dsp:nvSpPr>
        <dsp:cNvPr id="7" name="空心弧 6"/>
        <dsp:cNvSpPr/>
      </dsp:nvSpPr>
      <dsp:spPr bwMode="white">
        <a:xfrm>
          <a:off x="2124875" y="2176096"/>
          <a:ext cx="1534863" cy="1535479"/>
        </a:xfrm>
        <a:prstGeom prst="blockArc">
          <a:avLst>
            <a:gd name="adj1" fmla="val 13500000"/>
            <a:gd name="adj2" fmla="val 10800000"/>
            <a:gd name="adj3" fmla="val 12740"/>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2124875" y="2176096"/>
        <a:ext cx="1534863" cy="1535479"/>
      </dsp:txXfrm>
    </dsp:sp>
    <dsp:sp modelId="{69052E6C-D2A5-4989-93EA-93D0C254E4EB}">
      <dsp:nvSpPr>
        <dsp:cNvPr id="8" name="矩形 7"/>
        <dsp:cNvSpPr/>
      </dsp:nvSpPr>
      <dsp:spPr bwMode="white">
        <a:xfrm>
          <a:off x="2394943" y="2711677"/>
          <a:ext cx="992713" cy="496238"/>
        </a:xfrm>
        <a:prstGeom prst="rect">
          <a:avLst/>
        </a:prstGeom>
      </dsp:spPr>
      <dsp:style>
        <a:lnRef idx="0">
          <a:schemeClr val="dk1">
            <a:alpha val="0"/>
          </a:schemeClr>
        </a:lnRef>
        <a:fillRef idx="0">
          <a:schemeClr val="lt1">
            <a:alpha val="0"/>
          </a:schemeClr>
        </a:fillRef>
        <a:effectRef idx="0">
          <a:scrgbClr r="0" g="0" b="0"/>
        </a:effectRef>
        <a:fontRef idx="minor"/>
      </dsp:style>
      <dsp:txBody>
        <a:bodyPr vert="horz" wrap="square" lIns="7620" tIns="7620" rIns="7620" bIns="762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en-US" altLang="zh-CN">
              <a:solidFill>
                <a:schemeClr val="tx1"/>
              </a:solidFill>
            </a:rPr>
            <a:t>Premium menmbership</a:t>
          </a:r>
          <a:endParaRPr lang="en-US" altLang="zh-CN">
            <a:solidFill>
              <a:schemeClr val="tx1"/>
            </a:solidFill>
          </a:endParaRPr>
        </a:p>
      </dsp:txBody>
      <dsp:txXfrm>
        <a:off x="2394943" y="2711677"/>
        <a:ext cx="992713" cy="496238"/>
      </dsp:txXfrm>
    </dsp:sp>
  </dsp:spTree>
</dsp:drawing>
</file>

<file path=word/diagrams/drawing4.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4954270" cy="3583305"/>
        <a:chOff x="0" y="0"/>
        <a:chExt cx="4954270" cy="3583305"/>
      </a:xfrm>
    </dsp:grpSpPr>
    <dsp:sp modelId="{6A259130-4455-44E0-969B-948D1249687E}">
      <dsp:nvSpPr>
        <dsp:cNvPr id="5" name="任意多边形 4"/>
        <dsp:cNvSpPr/>
      </dsp:nvSpPr>
      <dsp:spPr bwMode="white">
        <a:xfrm>
          <a:off x="724308" y="1639548"/>
          <a:ext cx="1752827" cy="304210"/>
        </a:xfrm>
        <a:custGeom>
          <a:avLst/>
          <a:gdLst/>
          <a:ahLst/>
          <a:cxnLst/>
          <a:pathLst>
            <a:path w="2760" h="479">
              <a:moveTo>
                <a:pt x="2760" y="0"/>
              </a:moveTo>
              <a:lnTo>
                <a:pt x="2760" y="240"/>
              </a:lnTo>
              <a:lnTo>
                <a:pt x="0" y="240"/>
              </a:lnTo>
              <a:lnTo>
                <a:pt x="0" y="479"/>
              </a:lnTo>
            </a:path>
          </a:pathLst>
        </a:custGeom>
      </dsp:spPr>
      <dsp:style>
        <a:lnRef idx="2">
          <a:schemeClr val="accent1">
            <a:shade val="60000"/>
          </a:schemeClr>
        </a:lnRef>
        <a:fillRef idx="0">
          <a:schemeClr val="accent1"/>
        </a:fillRef>
        <a:effectRef idx="0">
          <a:scrgbClr r="0" g="0" b="0"/>
        </a:effectRef>
        <a:fontRef idx="minor"/>
      </dsp:style>
      <dsp:txXfrm>
        <a:off x="724308" y="1639548"/>
        <a:ext cx="1752827" cy="304210"/>
      </dsp:txXfrm>
    </dsp:sp>
    <dsp:sp modelId="{F492B679-3C8C-4E72-95A8-8B81298826E7}">
      <dsp:nvSpPr>
        <dsp:cNvPr id="8" name="任意多边形 7"/>
        <dsp:cNvSpPr/>
      </dsp:nvSpPr>
      <dsp:spPr bwMode="white">
        <a:xfrm>
          <a:off x="2477135" y="1639548"/>
          <a:ext cx="0" cy="304210"/>
        </a:xfrm>
        <a:custGeom>
          <a:avLst/>
          <a:gdLst/>
          <a:ahLst/>
          <a:cxnLst/>
          <a:pathLst>
            <a:path h="479">
              <a:moveTo>
                <a:pt x="0" y="0"/>
              </a:moveTo>
              <a:lnTo>
                <a:pt x="0" y="479"/>
              </a:lnTo>
            </a:path>
          </a:pathLst>
        </a:custGeom>
      </dsp:spPr>
      <dsp:style>
        <a:lnRef idx="2">
          <a:schemeClr val="accent1">
            <a:shade val="60000"/>
          </a:schemeClr>
        </a:lnRef>
        <a:fillRef idx="0">
          <a:schemeClr val="accent1"/>
        </a:fillRef>
        <a:effectRef idx="0">
          <a:scrgbClr r="0" g="0" b="0"/>
        </a:effectRef>
        <a:fontRef idx="minor"/>
      </dsp:style>
      <dsp:txXfrm>
        <a:off x="2477135" y="1639548"/>
        <a:ext cx="0" cy="304210"/>
      </dsp:txXfrm>
    </dsp:sp>
    <dsp:sp modelId="{AB3A8128-6C86-49B7-B5CC-0153888815E5}">
      <dsp:nvSpPr>
        <dsp:cNvPr id="11" name="任意多边形 10"/>
        <dsp:cNvSpPr/>
      </dsp:nvSpPr>
      <dsp:spPr bwMode="white">
        <a:xfrm>
          <a:off x="2477135" y="1639548"/>
          <a:ext cx="1752827" cy="304210"/>
        </a:xfrm>
        <a:custGeom>
          <a:avLst/>
          <a:gdLst/>
          <a:ahLst/>
          <a:cxnLst/>
          <a:pathLst>
            <a:path w="2760" h="479">
              <a:moveTo>
                <a:pt x="0" y="0"/>
              </a:moveTo>
              <a:lnTo>
                <a:pt x="0" y="240"/>
              </a:lnTo>
              <a:lnTo>
                <a:pt x="2760" y="240"/>
              </a:lnTo>
              <a:lnTo>
                <a:pt x="2760" y="479"/>
              </a:lnTo>
            </a:path>
          </a:pathLst>
        </a:custGeom>
      </dsp:spPr>
      <dsp:style>
        <a:lnRef idx="2">
          <a:schemeClr val="accent1">
            <a:shade val="60000"/>
          </a:schemeClr>
        </a:lnRef>
        <a:fillRef idx="0">
          <a:schemeClr val="accent1"/>
        </a:fillRef>
        <a:effectRef idx="0">
          <a:scrgbClr r="0" g="0" b="0"/>
        </a:effectRef>
        <a:fontRef idx="minor"/>
      </dsp:style>
      <dsp:txXfrm>
        <a:off x="2477135" y="1639548"/>
        <a:ext cx="1752827" cy="304210"/>
      </dsp:txXfrm>
    </dsp:sp>
    <dsp:sp modelId="{AE79172D-D441-42BB-84EA-E3D989670DED}">
      <dsp:nvSpPr>
        <dsp:cNvPr id="3" name="矩形 2"/>
        <dsp:cNvSpPr/>
      </dsp:nvSpPr>
      <dsp:spPr bwMode="white">
        <a:xfrm>
          <a:off x="1752827" y="915239"/>
          <a:ext cx="1448617" cy="724308"/>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12065" tIns="12065" rIns="12065" bIns="12065" anchor="ctr"/>
        <a:lstStyle>
          <a:lvl1pPr algn="ctr">
            <a:defRPr sz="19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nSpc>
              <a:spcPct val="100000"/>
            </a:lnSpc>
            <a:spcBef>
              <a:spcPct val="0"/>
            </a:spcBef>
            <a:spcAft>
              <a:spcPct val="35000"/>
            </a:spcAft>
          </a:pPr>
          <a:r>
            <a:rPr lang="en-US" altLang="zh-CN">
              <a:latin typeface="Times New Roman Regular" panose="02020603050405020304" charset="0"/>
              <a:ea typeface="+mj-ea"/>
              <a:cs typeface="Times New Roman Regular" panose="02020603050405020304" charset="0"/>
            </a:rPr>
            <a:t>Yating Zhang</a:t>
          </a:r>
          <a:endParaRPr lang="en-US" altLang="zh-CN"/>
        </a:p>
        <a:p>
          <a:pPr lvl="0">
            <a:lnSpc>
              <a:spcPct val="100000"/>
            </a:lnSpc>
            <a:spcBef>
              <a:spcPct val="0"/>
            </a:spcBef>
            <a:spcAft>
              <a:spcPct val="35000"/>
            </a:spcAft>
          </a:pPr>
          <a:r>
            <a:rPr lang="en-US" altLang="zh-CN" b="1"/>
            <a:t>CEO</a:t>
          </a:r>
          <a:endParaRPr lang="en-US" altLang="zh-CN" b="1"/>
        </a:p>
      </dsp:txBody>
      <dsp:txXfrm>
        <a:off x="1752827" y="915239"/>
        <a:ext cx="1448617" cy="724308"/>
      </dsp:txXfrm>
    </dsp:sp>
    <dsp:sp modelId="{43B7C837-49D6-40CE-BBAB-953D9E4BA7ED}">
      <dsp:nvSpPr>
        <dsp:cNvPr id="6" name="矩形 5"/>
        <dsp:cNvSpPr/>
      </dsp:nvSpPr>
      <dsp:spPr bwMode="white">
        <a:xfrm>
          <a:off x="0" y="1943757"/>
          <a:ext cx="1448617" cy="724308"/>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12065" tIns="12065" rIns="12065" bIns="12065" anchor="ctr"/>
        <a:lstStyle>
          <a:lvl1pPr algn="ctr">
            <a:defRPr sz="19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nSpc>
              <a:spcPct val="100000"/>
            </a:lnSpc>
            <a:spcBef>
              <a:spcPct val="0"/>
            </a:spcBef>
            <a:spcAft>
              <a:spcPct val="35000"/>
            </a:spcAft>
          </a:pPr>
          <a:r>
            <a:rPr lang="en-US" altLang="zh-CN">
              <a:latin typeface="Times New Roman Regular" panose="02020603050405020304" charset="0"/>
              <a:ea typeface="+mj-ea"/>
              <a:cs typeface="Times New Roman Regular" panose="02020603050405020304" charset="0"/>
            </a:rPr>
            <a:t>Jiaqi </a:t>
          </a:r>
          <a:r>
            <a:rPr lang="en-US" altLang="zh-CN">
              <a:latin typeface="Times New Roman Regular" panose="02020603050405020304" charset="0"/>
              <a:ea typeface="+mj-ea"/>
              <a:cs typeface="Times New Roman Regular" panose="02020603050405020304" charset="0"/>
            </a:rPr>
            <a:t>Chen</a:t>
          </a:r>
          <a:endParaRPr lang="en-US" altLang="zh-CN">
            <a:latin typeface="Times New Roman Regular" panose="02020603050405020304" charset="0"/>
            <a:ea typeface="+mj-ea"/>
            <a:cs typeface="Times New Roman Regular" panose="02020603050405020304" charset="0"/>
          </a:endParaRPr>
        </a:p>
        <a:p>
          <a:pPr lvl="0">
            <a:lnSpc>
              <a:spcPct val="100000"/>
            </a:lnSpc>
            <a:spcBef>
              <a:spcPct val="0"/>
            </a:spcBef>
            <a:spcAft>
              <a:spcPct val="35000"/>
            </a:spcAft>
          </a:pPr>
          <a:r>
            <a:rPr lang="en-US" altLang="zh-CN" b="1"/>
            <a:t>CTO</a:t>
          </a:r>
          <a:endParaRPr lang="zh-CN" altLang="en-US" b="1"/>
        </a:p>
      </dsp:txBody>
      <dsp:txXfrm>
        <a:off x="0" y="1943757"/>
        <a:ext cx="1448617" cy="724308"/>
      </dsp:txXfrm>
    </dsp:sp>
    <dsp:sp modelId="{08A0D1D2-3A20-4D63-8E35-B7C8B6B16D48}">
      <dsp:nvSpPr>
        <dsp:cNvPr id="9" name="矩形 8"/>
        <dsp:cNvSpPr/>
      </dsp:nvSpPr>
      <dsp:spPr bwMode="white">
        <a:xfrm>
          <a:off x="1752827" y="1943757"/>
          <a:ext cx="1448617" cy="724308"/>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12065" tIns="12065" rIns="12065" bIns="12065" anchor="ctr"/>
        <a:lstStyle>
          <a:lvl1pPr algn="ctr">
            <a:defRPr sz="19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nSpc>
              <a:spcPct val="100000"/>
            </a:lnSpc>
            <a:spcBef>
              <a:spcPct val="0"/>
            </a:spcBef>
            <a:spcAft>
              <a:spcPct val="35000"/>
            </a:spcAft>
          </a:pPr>
          <a:r>
            <a:rPr lang="en-US" altLang="zh-CN">
              <a:latin typeface="Times New Roman Regular" panose="02020603050405020304" charset="0"/>
              <a:ea typeface="+mj-ea"/>
              <a:cs typeface="Times New Roman Regular" panose="02020603050405020304" charset="0"/>
            </a:rPr>
            <a:t>Xiaolu </a:t>
          </a:r>
          <a:r>
            <a:rPr lang="en-US" altLang="zh-CN">
              <a:latin typeface="Times New Roman Regular" panose="02020603050405020304" charset="0"/>
              <a:ea typeface="+mj-ea"/>
              <a:cs typeface="Times New Roman Regular" panose="02020603050405020304" charset="0"/>
            </a:rPr>
            <a:t>Xie</a:t>
          </a:r>
          <a:endParaRPr lang="en-US" altLang="zh-CN">
            <a:latin typeface="Times New Roman Regular" panose="02020603050405020304" charset="0"/>
            <a:ea typeface="+mj-ea"/>
            <a:cs typeface="Times New Roman Regular" panose="02020603050405020304" charset="0"/>
          </a:endParaRPr>
        </a:p>
        <a:p>
          <a:pPr lvl="0">
            <a:lnSpc>
              <a:spcPct val="100000"/>
            </a:lnSpc>
            <a:spcBef>
              <a:spcPct val="0"/>
            </a:spcBef>
            <a:spcAft>
              <a:spcPct val="35000"/>
            </a:spcAft>
          </a:pPr>
          <a:r>
            <a:rPr lang="en-US" altLang="zh-CN" b="1"/>
            <a:t>UX</a:t>
          </a:r>
          <a:endParaRPr lang="zh-CN" altLang="en-US" b="1"/>
        </a:p>
      </dsp:txBody>
      <dsp:txXfrm>
        <a:off x="1752827" y="1943757"/>
        <a:ext cx="1448617" cy="724308"/>
      </dsp:txXfrm>
    </dsp:sp>
    <dsp:sp modelId="{7D64F4A3-0E55-47AC-A59B-9D5A9DC25552}">
      <dsp:nvSpPr>
        <dsp:cNvPr id="12" name="矩形 11"/>
        <dsp:cNvSpPr/>
      </dsp:nvSpPr>
      <dsp:spPr bwMode="white">
        <a:xfrm>
          <a:off x="3505653" y="1943757"/>
          <a:ext cx="1448617" cy="724308"/>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12065" tIns="12065" rIns="12065" bIns="12065" anchor="ctr"/>
        <a:lstStyle>
          <a:lvl1pPr algn="ctr">
            <a:defRPr sz="19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nSpc>
              <a:spcPct val="100000"/>
            </a:lnSpc>
            <a:spcBef>
              <a:spcPct val="0"/>
            </a:spcBef>
            <a:spcAft>
              <a:spcPct val="35000"/>
            </a:spcAft>
          </a:pPr>
          <a:r>
            <a:rPr lang="en-US" altLang="zh-CN">
              <a:latin typeface="Times New Roman Regular" panose="02020603050405020304" charset="0"/>
              <a:ea typeface="+mj-ea"/>
              <a:cs typeface="Times New Roman Regular" panose="02020603050405020304" charset="0"/>
            </a:rPr>
            <a:t>Yue </a:t>
          </a:r>
          <a:r>
            <a:rPr lang="en-US" altLang="zh-CN">
              <a:latin typeface="Times New Roman Regular" panose="02020603050405020304" charset="0"/>
              <a:ea typeface="+mj-ea"/>
              <a:cs typeface="Times New Roman Regular" panose="02020603050405020304" charset="0"/>
            </a:rPr>
            <a:t>Tang</a:t>
          </a:r>
          <a:endParaRPr lang="en-US" altLang="zh-CN">
            <a:latin typeface="Times New Roman Regular" panose="02020603050405020304" charset="0"/>
            <a:ea typeface="+mj-ea"/>
            <a:cs typeface="Times New Roman Regular" panose="02020603050405020304" charset="0"/>
          </a:endParaRPr>
        </a:p>
        <a:p>
          <a:pPr lvl="0">
            <a:lnSpc>
              <a:spcPct val="100000"/>
            </a:lnSpc>
            <a:spcBef>
              <a:spcPct val="0"/>
            </a:spcBef>
            <a:spcAft>
              <a:spcPct val="35000"/>
            </a:spcAft>
          </a:pPr>
          <a:r>
            <a:rPr lang="en-US" altLang="zh-CN" b="1"/>
            <a:t>BE</a:t>
          </a:r>
          <a:endParaRPr lang="zh-CN" altLang="en-US" b="1"/>
        </a:p>
      </dsp:txBody>
      <dsp:txXfrm>
        <a:off x="3505653" y="1943757"/>
        <a:ext cx="1448617" cy="724308"/>
      </dsp:txXfrm>
    </dsp:sp>
    <dsp:sp modelId="{86420519-308D-4A6A-8FEA-6FB2E39BA448}">
      <dsp:nvSpPr>
        <dsp:cNvPr id="4" name="矩形 3" hidden="1"/>
        <dsp:cNvSpPr/>
      </dsp:nvSpPr>
      <dsp:spPr>
        <a:xfrm>
          <a:off x="1752827" y="915239"/>
          <a:ext cx="289723" cy="724308"/>
        </a:xfrm>
        <a:prstGeom prst="rect">
          <a:avLst/>
        </a:prstGeom>
      </dsp:spPr>
      <dsp:txXfrm>
        <a:off x="1752827" y="915239"/>
        <a:ext cx="289723" cy="724308"/>
      </dsp:txXfrm>
    </dsp:sp>
    <dsp:sp modelId="{9A037140-9B69-4B9F-A134-F2F2EB0F2E32}">
      <dsp:nvSpPr>
        <dsp:cNvPr id="7" name="矩形 6" hidden="1"/>
        <dsp:cNvSpPr/>
      </dsp:nvSpPr>
      <dsp:spPr>
        <a:xfrm>
          <a:off x="0" y="1943757"/>
          <a:ext cx="289723" cy="724308"/>
        </a:xfrm>
        <a:prstGeom prst="rect">
          <a:avLst/>
        </a:prstGeom>
      </dsp:spPr>
      <dsp:txXfrm>
        <a:off x="0" y="1943757"/>
        <a:ext cx="289723" cy="724308"/>
      </dsp:txXfrm>
    </dsp:sp>
    <dsp:sp modelId="{6238C53E-A961-488B-8FBD-6EC13507B069}">
      <dsp:nvSpPr>
        <dsp:cNvPr id="10" name="矩形 9" hidden="1"/>
        <dsp:cNvSpPr/>
      </dsp:nvSpPr>
      <dsp:spPr>
        <a:xfrm>
          <a:off x="1752827" y="1943757"/>
          <a:ext cx="289723" cy="724308"/>
        </a:xfrm>
        <a:prstGeom prst="rect">
          <a:avLst/>
        </a:prstGeom>
      </dsp:spPr>
      <dsp:txXfrm>
        <a:off x="1752827" y="1943757"/>
        <a:ext cx="289723" cy="724308"/>
      </dsp:txXfrm>
    </dsp:sp>
    <dsp:sp modelId="{5667CB49-EC34-46BC-AD2D-72F3BD95D049}">
      <dsp:nvSpPr>
        <dsp:cNvPr id="13" name="矩形 12" hidden="1"/>
        <dsp:cNvSpPr/>
      </dsp:nvSpPr>
      <dsp:spPr>
        <a:xfrm>
          <a:off x="3505653" y="1943757"/>
          <a:ext cx="289723" cy="724308"/>
        </a:xfrm>
        <a:prstGeom prst="rect">
          <a:avLst/>
        </a:prstGeom>
      </dsp:spPr>
      <dsp:txXfrm>
        <a:off x="3505653" y="1943757"/>
        <a:ext cx="289723" cy="724308"/>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rSet qsTypeId="urn:microsoft.com/office/officeart/2005/8/quickstyle/simple5"/>
        </dgm:pt>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dstNode" val="node"/>
                    <dgm:param type="begSty" val="noArr"/>
                    <dgm:param type="endSty" val="noArr"/>
                    <dgm:param type="connRout" val="curve"/>
                    <dgm:param type="begPts" val="ctr"/>
                    <dgm:param type="endPts" val="ctr"/>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srcNode" val="dummyConnPt"/>
                    <dgm:param type="dstNode" val="dummyConnPt"/>
                    <dgm:param type="begSty" val="noArr"/>
                    <dgm:param type="endSty" val="noArr"/>
                    <dgm:param type="connRout" val="longCurve"/>
                    <dgm:param type="begPts" val="bCtr"/>
                    <dgm:param type="endPts" val="tCtr"/>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rSet qsTypeId="urn:microsoft.com/office/officeart/2005/8/quickstyle/simple5"/>
        </dgm:pt>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pyraLvlNode" val="level"/>
          <dgm:param type="pyraAcctTxNode" val="acctTx"/>
          <dgm:param type="pyraAcctBkgdNode" val="acctBkgd"/>
          <dgm:param type="linDir" val="fromB"/>
          <dgm:param type="txDir" val="fromT"/>
          <dgm:param type="pyraAcctPos" val="aft"/>
          <dgm:param type="pyraAcctTxMar" val="step"/>
        </dgm:alg>
      </dgm:if>
      <dgm:else name="Name3">
        <dgm:alg type="pyra">
          <dgm:param type="pyraLvlNode" val="level"/>
          <dgm:param type="pyraAcctTxNode" val="acctTx"/>
          <dgm:param type="pyraAcctBkgdNode" val="acctBkgd"/>
          <dgm:param type="linDir" val="fromB"/>
          <dgm:param type="txDir" val="fromT"/>
          <dgm:param type="pyraAcctPos" val="bef"/>
          <dgm:param type="pyraAcctTxMar" val="step"/>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3.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rSet qsTypeId="urn:microsoft.com/office/officeart/2005/8/quickstyle/simple5"/>
        </dgm:pt>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parTxLTRAlign" val="l"/>
              <dgm:param type="stBulletLvl" val="1"/>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parTxLTRAlign" val="l"/>
              <dgm:param type="stBulletLvl" val="1"/>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parTxLTRAlign" val="l"/>
              <dgm:param type="stBulletLvl" val="1"/>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parTxLTRAlign" val="l"/>
              <dgm:param type="stBulletLvl" val="1"/>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parTxLTRAlign" val="l"/>
              <dgm:param type="stBulletLvl" val="1"/>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parTxLTRAlign" val="l"/>
              <dgm:param type="stBulletLvl" val="1"/>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parTxLTRAlign" val="l"/>
              <dgm:param type="stBulletLvl" val="1"/>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b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callout">
    <dgm:scene3d>
      <a:camera prst="orthographicFront"/>
      <a:lightRig rig="threePt" dir="t"/>
    </dgm:scene3d>
    <dgm:txPr/>
    <dgm:style>
      <a:lnRef idx="1">
        <a:scrgbClr r="0" g="0" b="0"/>
      </a:lnRef>
      <a:fillRef idx="2">
        <a:scrgbClr r="0" g="0" b="0"/>
      </a:fillRef>
      <a:effectRef idx="1">
        <a:scrgbClr r="0" g="0" b="0"/>
      </a:effectRef>
      <a:fontRef idx="minor"/>
    </dgm:style>
  </dgm:styleLbl>
  <dgm:styleLbl name="con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fgAcc0">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solid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1">
        <a:scrgbClr r="0" g="0" b="0"/>
      </a:lnRef>
      <a:fillRef idx="2">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b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callout">
    <dgm:scene3d>
      <a:camera prst="orthographicFront"/>
      <a:lightRig rig="threePt" dir="t"/>
    </dgm:scene3d>
    <dgm:txPr/>
    <dgm:style>
      <a:lnRef idx="1">
        <a:scrgbClr r="0" g="0" b="0"/>
      </a:lnRef>
      <a:fillRef idx="2">
        <a:scrgbClr r="0" g="0" b="0"/>
      </a:fillRef>
      <a:effectRef idx="1">
        <a:scrgbClr r="0" g="0" b="0"/>
      </a:effectRef>
      <a:fontRef idx="minor"/>
    </dgm:style>
  </dgm:styleLbl>
  <dgm:styleLbl name="con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fgAcc0">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solid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1">
        <a:scrgbClr r="0" g="0" b="0"/>
      </a:lnRef>
      <a:fillRef idx="2">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b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callout">
    <dgm:scene3d>
      <a:camera prst="orthographicFront"/>
      <a:lightRig rig="threePt" dir="t"/>
    </dgm:scene3d>
    <dgm:txPr/>
    <dgm:style>
      <a:lnRef idx="1">
        <a:scrgbClr r="0" g="0" b="0"/>
      </a:lnRef>
      <a:fillRef idx="2">
        <a:scrgbClr r="0" g="0" b="0"/>
      </a:fillRef>
      <a:effectRef idx="1">
        <a:scrgbClr r="0" g="0" b="0"/>
      </a:effectRef>
      <a:fontRef idx="minor"/>
    </dgm:style>
  </dgm:styleLbl>
  <dgm:styleLbl name="con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fgAcc0">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solid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1">
        <a:scrgbClr r="0" g="0" b="0"/>
      </a:lnRef>
      <a:fillRef idx="2">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Def>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24</Pages>
  <Words>0</Words>
  <Characters>0</Characters>
  <Lines>0</Lines>
  <Paragraphs>0</Paragraphs>
  <TotalTime>0</TotalTime>
  <ScaleCrop>false</ScaleCrop>
  <LinksUpToDate>false</LinksUpToDate>
  <CharactersWithSpaces>0</CharactersWithSpaces>
  <Application>WPS Office_6.12.1.8902_F1E327BC-269C-435d-A152-05C5408002CA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2025-10-26T21:08:00Z</dcterms:created>
  <dc:creator>碧海蓝天</dc:creator>
  <cp:lastModifiedBy>碧海蓝天</cp:lastModifiedBy>
  <dcterms:modified xsi:type="dcterms:W3CDTF">2025-10-26T14:50:58Z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2052-6.12.1.8902</vt:lpwstr>
  </property>
  <property fmtid="{D5CDD505-2E9C-101B-9397-08002B2CF9AE}" pid="3" name="ICV">
    <vt:lpwstr>2B9E68B736022C6AB5ACFD68DE65D1FB_41</vt:lpwstr>
  </property>
</Properties>
</file>