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2D2866"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2D2866"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2D2866"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2D2866"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2D2866"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2D2866"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2D2866"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D2866"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2D2866"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Cs/>
                      <w:lang w:val="ro-MD"/>
                    </w:rPr>
                    <w:t>rînd.</w:t>
                  </w:r>
                  <w:r w:rsidRPr="00270DD3">
                    <w:rPr>
                      <w:rFonts w:ascii="Times New Roman" w:eastAsia="Times New Roman" w:hAnsi="Times New Roman"/>
                      <w:b/>
                      <w:bCs/>
                      <w:lang w:val="ro-MD"/>
                    </w:rPr>
                    <w:t xml:space="preserve">1480 </w:t>
                  </w:r>
                  <w:r w:rsidRPr="00270DD3">
                    <w:rPr>
                      <w:rFonts w:ascii="Times New Roman" w:eastAsia="Times New Roman" w:hAnsi="Times New Roman"/>
                      <w:bCs/>
                      <w:lang w:val="ro-MD"/>
                    </w:rPr>
                    <w:t xml:space="preserve">pe coloanele 1,2,3 = </w:t>
                  </w:r>
                  <w:r w:rsidRPr="00270DD3">
                    <w:rPr>
                      <w:rFonts w:ascii="Times New Roman" w:eastAsia="Times New Roman" w:hAnsi="Times New Roman"/>
                      <w:b/>
                      <w:bCs/>
                      <w:lang w:val="ro-MD"/>
                    </w:rPr>
                    <w:t>suma</w:t>
                  </w:r>
                  <w:r w:rsidRPr="00270DD3">
                    <w:rPr>
                      <w:rFonts w:ascii="Times New Roman" w:eastAsia="Times New Roman" w:hAnsi="Times New Roman"/>
                      <w:bCs/>
                      <w:lang w:val="ro-MD"/>
                    </w:rPr>
                    <w:t xml:space="preserve"> rînd.</w:t>
                  </w:r>
                  <w:r w:rsidRPr="00270DD3">
                    <w:rPr>
                      <w:rFonts w:ascii="Times New Roman" w:eastAsia="Times New Roman" w:hAnsi="Times New Roman"/>
                      <w:b/>
                      <w:bCs/>
                      <w:lang w:val="ro-MD"/>
                    </w:rPr>
                    <w:t>1481</w:t>
                  </w:r>
                  <w:r w:rsidRPr="00270DD3">
                    <w:rPr>
                      <w:rFonts w:ascii="Times New Roman" w:eastAsia="Times New Roman" w:hAnsi="Times New Roman"/>
                      <w:bCs/>
                      <w:lang w:val="ro-MD"/>
                    </w:rPr>
                    <w:t xml:space="preserve"> +</w:t>
                  </w:r>
                  <w:r w:rsidRPr="00736B22">
                    <w:rPr>
                      <w:rFonts w:ascii="Times New Roman" w:eastAsia="Times New Roman" w:hAnsi="Times New Roman"/>
                      <w:b/>
                      <w:lang w:val="ro-MD"/>
                    </w:rPr>
                    <w:t>1482+1483+1484+1485+1486</w:t>
                  </w:r>
                  <w:r w:rsidRPr="00270DD3">
                    <w:rPr>
                      <w:rFonts w:ascii="Times New Roman" w:eastAsia="Times New Roman" w:hAnsi="Times New Roman"/>
                      <w:bCs/>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1621+...+1636 </w:t>
                  </w:r>
                  <w:r w:rsidR="00270DD3" w:rsidRPr="00270DD3">
                    <w:rPr>
                      <w:rFonts w:ascii="Times New Roman" w:eastAsia="Times New Roman" w:hAnsi="Times New Roman"/>
                      <w:bCs/>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1681+1682 </w:t>
                  </w:r>
                  <w:r w:rsidR="00270DD3" w:rsidRPr="00270DD3">
                    <w:rPr>
                      <w:rFonts w:ascii="Times New Roman" w:eastAsia="Times New Roman" w:hAnsi="Times New Roman"/>
                      <w:bCs/>
                      <w:lang w:val="ro-MD"/>
                    </w:rPr>
                    <w:t xml:space="preserve">pe coloanele </w:t>
                  </w:r>
                  <w:r w:rsidR="00270DD3" w:rsidRPr="00270DD3">
                    <w:rPr>
                      <w:rFonts w:ascii="Times New Roman" w:eastAsia="Times New Roman" w:hAnsi="Times New Roman"/>
                      <w:b/>
                      <w:bCs/>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1700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1800 col. 3 =  r</w:t>
                  </w:r>
                  <w:r w:rsidR="00736B22" w:rsidRPr="00465272">
                    <w:rPr>
                      <w:rFonts w:ascii="Times New Roman" w:eastAsia="Times New Roman" w:hAnsi="Times New Roman"/>
                      <w:b/>
                      <w:bCs/>
                      <w:lang w:val="ro-MD"/>
                    </w:rPr>
                    <w:t>â</w:t>
                  </w:r>
                  <w:r w:rsidRPr="00465272">
                    <w:rPr>
                      <w:rFonts w:ascii="Times New Roman" w:eastAsia="Times New Roman" w:hAnsi="Times New Roman"/>
                      <w:b/>
                      <w:bCs/>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465272" w:rsidRDefault="00270DD3"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 xml:space="preserve">rând. 1800 col. 5 =  </w:t>
                  </w:r>
                  <w:r w:rsidR="00736B22" w:rsidRPr="00465272">
                    <w:rPr>
                      <w:rFonts w:ascii="Times New Roman" w:eastAsia="Times New Roman" w:hAnsi="Times New Roman"/>
                      <w:b/>
                      <w:bCs/>
                      <w:lang w:val="ro-MD"/>
                    </w:rPr>
                    <w:t>rând</w:t>
                  </w:r>
                  <w:r w:rsidRPr="00465272">
                    <w:rPr>
                      <w:rFonts w:ascii="Times New Roman" w:eastAsia="Times New Roman" w:hAnsi="Times New Roman"/>
                      <w:b/>
                      <w:bCs/>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465272" w:rsidRDefault="00362C8C" w:rsidP="0039415C">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1900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465272" w:rsidRDefault="00362C8C" w:rsidP="008B04DE">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 2000 col. 1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6100 col.1,2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6110 +...+ 6130 pe coloanele</w:t>
                  </w:r>
                  <w:r>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2D2866"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2D2866"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D2866"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D2866"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2D2866"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C88B2" w14:textId="77777777" w:rsidR="008E6C18" w:rsidRDefault="008E6C18" w:rsidP="00E85777">
      <w:pPr>
        <w:spacing w:after="0" w:line="240" w:lineRule="auto"/>
      </w:pPr>
      <w:r>
        <w:separator/>
      </w:r>
    </w:p>
  </w:endnote>
  <w:endnote w:type="continuationSeparator" w:id="0">
    <w:p w14:paraId="171933D1" w14:textId="77777777" w:rsidR="008E6C18" w:rsidRDefault="008E6C18"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B4DC9" w14:textId="77777777" w:rsidR="008E6C18" w:rsidRDefault="008E6C18" w:rsidP="00E85777">
      <w:pPr>
        <w:spacing w:after="0" w:line="240" w:lineRule="auto"/>
      </w:pPr>
      <w:r>
        <w:separator/>
      </w:r>
    </w:p>
  </w:footnote>
  <w:footnote w:type="continuationSeparator" w:id="0">
    <w:p w14:paraId="67EFB2C9" w14:textId="77777777" w:rsidR="008E6C18" w:rsidRDefault="008E6C18"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900C4"/>
    <w:rsid w:val="001A3EEB"/>
    <w:rsid w:val="001C2564"/>
    <w:rsid w:val="001C3145"/>
    <w:rsid w:val="001D163C"/>
    <w:rsid w:val="001F33F9"/>
    <w:rsid w:val="00212D26"/>
    <w:rsid w:val="00214945"/>
    <w:rsid w:val="0024068B"/>
    <w:rsid w:val="00250344"/>
    <w:rsid w:val="002611F3"/>
    <w:rsid w:val="00270DD3"/>
    <w:rsid w:val="002760EE"/>
    <w:rsid w:val="002804D7"/>
    <w:rsid w:val="002809BC"/>
    <w:rsid w:val="00280C7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2D23"/>
    <w:rsid w:val="00497A8A"/>
    <w:rsid w:val="004C227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F128E"/>
    <w:rsid w:val="006F13CB"/>
    <w:rsid w:val="007016ED"/>
    <w:rsid w:val="00705F73"/>
    <w:rsid w:val="00707717"/>
    <w:rsid w:val="00720114"/>
    <w:rsid w:val="007268EA"/>
    <w:rsid w:val="00736860"/>
    <w:rsid w:val="00736B22"/>
    <w:rsid w:val="007556F1"/>
    <w:rsid w:val="00765034"/>
    <w:rsid w:val="00771F5B"/>
    <w:rsid w:val="00782C3B"/>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65871"/>
    <w:rsid w:val="009A1FAD"/>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447A2"/>
    <w:rsid w:val="00C84D19"/>
    <w:rsid w:val="00CC4E7A"/>
    <w:rsid w:val="00CE04BC"/>
    <w:rsid w:val="00CF1423"/>
    <w:rsid w:val="00CF31A2"/>
    <w:rsid w:val="00CF41CA"/>
    <w:rsid w:val="00CF61F3"/>
    <w:rsid w:val="00D22A1B"/>
    <w:rsid w:val="00D3121F"/>
    <w:rsid w:val="00D63F18"/>
    <w:rsid w:val="00D6761F"/>
    <w:rsid w:val="00D677A6"/>
    <w:rsid w:val="00D81A9B"/>
    <w:rsid w:val="00D83C82"/>
    <w:rsid w:val="00D9189C"/>
    <w:rsid w:val="00D93079"/>
    <w:rsid w:val="00DA6636"/>
    <w:rsid w:val="00DD2E81"/>
    <w:rsid w:val="00DD4C2E"/>
    <w:rsid w:val="00DE3211"/>
    <w:rsid w:val="00DF30F8"/>
    <w:rsid w:val="00E3179B"/>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6</cp:revision>
  <cp:lastPrinted>2024-08-06T05:54:00Z</cp:lastPrinted>
  <dcterms:created xsi:type="dcterms:W3CDTF">2024-08-06T08:12:00Z</dcterms:created>
  <dcterms:modified xsi:type="dcterms:W3CDTF">2024-11-18T14:10:00Z</dcterms:modified>
</cp:coreProperties>
</file>