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5220"/>
        <w:gridCol w:w="5220"/>
      </w:tblGrid>
      <w:tr>
        <w:tc>
          <w:tcPr>
            <w:tcW w:type="dxa" w:w="5220"/>
            <w:tcBorders>
              <w:top w:val="none" w:color="FFFFFF" w:sz="0"/>
              <w:left w:val="none" w:color="FFFFFF" w:sz="0"/>
              <w:bottom w:val="none" w:color="FFFFFF" w:sz="0"/>
              <w:right w:val="none" w:color="FFFFFF" w:sz="0"/>
            </w:tcBorders>
          </w:tcPr>
          <w:p>
            <w:r>
              <w:rPr>
                <w:b/>
                <w:bCs/>
                <w:color w:val="1A1A1A"/>
                <w:sz w:val="30"/>
                <w:szCs w:val="30"/>
              </w:rPr>
              <w:t xml:space="preserve">ANDROINFRAMIND</w:t>
            </w:r>
          </w:p>
          <w:p>
            <w:r>
              <w:rPr>
                <w:i/>
                <w:iCs/>
                <w:color w:val="5F5F5F"/>
                <w:sz w:val="16"/>
                <w:szCs w:val="16"/>
              </w:rPr>
              <w:t xml:space="preserve">Marketplace Growth Partners</w:t>
            </w:r>
          </w:p>
        </w:tc>
        <w:tc>
          <w:tcPr>
            <w:tcW w:type="dxa" w:w="5220"/>
            <w:tcBorders>
              <w:top w:val="none" w:color="FFFFFF" w:sz="0"/>
              <w:left w:val="none" w:color="FFFFFF" w:sz="0"/>
              <w:bottom w:val="none" w:color="FFFFFF" w:sz="0"/>
              <w:right w:val="none" w:color="FFFFFF" w:sz="0"/>
            </w:tcBorders>
          </w:tcPr>
          <w:p>
            <w:pPr>
              <w:jc w:val="right"/>
            </w:pPr>
            <w:r>
              <w:rPr>
                <w:b/>
                <w:bCs/>
                <w:color w:val="0C831F"/>
                <w:sz w:val="30"/>
                <w:szCs w:val="30"/>
              </w:rPr>
              <w:t xml:space="preserve">blinkit</w:t>
            </w:r>
          </w:p>
          <w:p>
            <w:pPr>
              <w:jc w:val="right"/>
            </w:pPr>
            <w:r>
              <w:rPr>
                <w:i/>
                <w:iCs/>
                <w:color w:val="5F5F5F"/>
                <w:sz w:val="16"/>
                <w:szCs w:val="16"/>
              </w:rPr>
              <w:t xml:space="preserve">Authorized Seller Support Partner</w:t>
            </w:r>
          </w:p>
        </w:tc>
      </w:tr>
    </w:tbl>
    <w:p>
      <w:pPr>
        <w:pBdr>
          <w:bottom w:val="single" w:color="CCCCCC" w:sz="6" w:space="1"/>
        </w:pBdr>
        <w:spacing w:after="240" w:before="120"/>
      </w:pPr>
    </w:p>
    <w:p>
      <w:pPr>
        <w:spacing w:after="60" w:before="120"/>
        <w:jc w:val="center"/>
      </w:pPr>
      <w:r>
        <w:rPr>
          <w:b/>
          <w:bCs/>
          <w:color w:val="1A1A1A"/>
          <w:sz w:val="34"/>
          <w:szCs w:val="34"/>
        </w:rPr>
        <w:t xml:space="preserve">SKU &amp; Store Maintenance and Promotion Proposal</w:t>
      </w:r>
    </w:p>
    <w:p>
      <w:pPr>
        <w:spacing w:after="320"/>
        <w:jc w:val="center"/>
      </w:pPr>
      <w:r>
        <w:rPr>
          <w:i/>
          <w:iCs/>
          <w:color w:val="5F5F5F"/>
          <w:sz w:val="22"/>
          <w:szCs w:val="22"/>
        </w:rPr>
        <w:t xml:space="preserve">For Sellers Already Onboarded on Blinkit</w:t>
      </w:r>
    </w:p>
    <w:p>
      <w:pPr>
        <w:spacing w:after="160"/>
      </w:pPr>
      <w:r>
        <w:rPr>
          <w:b/>
          <w:bCs/>
          <w:color w:val="1A1A1A"/>
          <w:sz w:val="22"/>
          <w:szCs w:val="22"/>
        </w:rPr>
        <w:t xml:space="preserve">Dear Team,</w:t>
      </w:r>
    </w:p>
    <w:p>
      <w:pPr>
        <w:spacing w:after="160"/>
      </w:pPr>
      <w:r>
        <w:rPr>
          <w:color w:val="1A1A1A"/>
          <w:sz w:val="22"/>
          <w:szCs w:val="22"/>
        </w:rPr>
        <w:t xml:space="preserve">Thank you for continuing to partner with us. Now that your store is live on Blinkit, the next stage is just as critical as onboarding itself: keeping your SKUs healthy, your store compliant, and your visibility growing. This proposal outlines our ongoing SKU and store maintenance and promotion services for already-onboarded sellers.</w:t>
      </w:r>
    </w:p>
    <w:p>
      <w:pPr>
        <w:pStyle w:val="Heading1"/>
        <w:spacing w:after="160" w:before="360"/>
      </w:pPr>
      <w:r>
        <w:rPr>
          <w:b/>
          <w:bCs/>
          <w:color w:val="0C831F"/>
          <w:sz w:val="26"/>
          <w:szCs w:val="26"/>
        </w:rPr>
        <w:t xml:space="preserve">1. Why Ongoing Maintenance Matters</w:t>
      </w:r>
    </w:p>
    <w:p>
      <w:pPr>
        <w:spacing w:after="160"/>
      </w:pPr>
      <w:r>
        <w:rPr>
          <w:color w:val="1A1A1A"/>
          <w:sz w:val="22"/>
          <w:szCs w:val="22"/>
        </w:rPr>
        <w:t xml:space="preserve">A live listing is only the starting point. Blinkit's algorithm and city-level visibility depend on consistent store health, accurate inventory, competitive pricing, and active promotion. Without regular upkeep, sellers commonly see listings drop in search ranking, stock mismatches lead to order cancellations, and ad spend go underutilized. Our team takes this ongoing responsibility off your plate.</w:t>
      </w:r>
    </w:p>
    <w:p>
      <w:pPr>
        <w:pStyle w:val="Heading1"/>
        <w:spacing w:after="160" w:before="360"/>
      </w:pPr>
      <w:r>
        <w:rPr>
          <w:b/>
          <w:bCs/>
          <w:color w:val="0C831F"/>
          <w:sz w:val="26"/>
          <w:szCs w:val="26"/>
        </w:rPr>
        <w:t xml:space="preserve">2. Scope of Services</w:t>
      </w:r>
    </w:p>
    <w:p>
      <w:pPr>
        <w:spacing w:after="160"/>
      </w:pPr>
      <w:r>
        <w:rPr>
          <w:b/>
          <w:bCs/>
          <w:color w:val="1A1A1A"/>
          <w:sz w:val="23"/>
          <w:szCs w:val="23"/>
        </w:rPr>
        <w:t xml:space="preserve">a) SKU &amp; Listing Maintenance</w:t>
      </w:r>
    </w:p>
    <w:p>
      <w:pPr>
        <w:pStyle w:val="ListParagraph"/>
        <w:numPr>
          <w:ilvl w:val="0"/>
          <w:numId w:val="2"/>
        </w:numPr>
        <w:spacing w:after="100"/>
      </w:pPr>
      <w:r>
        <w:rPr>
          <w:color w:val="1A1A1A"/>
          <w:sz w:val="22"/>
          <w:szCs w:val="22"/>
        </w:rPr>
        <w:t xml:space="preserve">Regular audit of all live SKUs for accuracy, completeness, and policy compliance.</w:t>
      </w:r>
    </w:p>
    <w:p>
      <w:pPr>
        <w:pStyle w:val="ListParagraph"/>
        <w:numPr>
          <w:ilvl w:val="0"/>
          <w:numId w:val="2"/>
        </w:numPr>
        <w:spacing w:after="100"/>
      </w:pPr>
      <w:r>
        <w:rPr>
          <w:color w:val="1A1A1A"/>
          <w:sz w:val="22"/>
          <w:szCs w:val="22"/>
        </w:rPr>
        <w:t xml:space="preserve">Title, image, and description optimization to improve discoverability.</w:t>
      </w:r>
    </w:p>
    <w:p>
      <w:pPr>
        <w:pStyle w:val="ListParagraph"/>
        <w:numPr>
          <w:ilvl w:val="0"/>
          <w:numId w:val="2"/>
        </w:numPr>
        <w:spacing w:after="100"/>
      </w:pPr>
      <w:r>
        <w:rPr>
          <w:color w:val="1A1A1A"/>
          <w:sz w:val="22"/>
          <w:szCs w:val="22"/>
        </w:rPr>
        <w:t xml:space="preserve">Timely correction of rejected, paused, or flagged listings.</w:t>
      </w:r>
    </w:p>
    <w:p>
      <w:pPr>
        <w:pStyle w:val="ListParagraph"/>
        <w:numPr>
          <w:ilvl w:val="0"/>
          <w:numId w:val="2"/>
        </w:numPr>
        <w:spacing w:after="100"/>
      </w:pPr>
      <w:r>
        <w:rPr>
          <w:color w:val="1A1A1A"/>
          <w:sz w:val="22"/>
          <w:szCs w:val="22"/>
        </w:rPr>
        <w:t xml:space="preserve">Price and inventory sync checks to avoid stock-out or overselling issues.</w:t>
      </w:r>
    </w:p>
    <w:p>
      <w:pPr>
        <w:spacing w:after="160"/>
      </w:pPr>
      <w:r>
        <w:rPr>
          <w:b/>
          <w:bCs/>
          <w:color w:val="1A1A1A"/>
          <w:sz w:val="23"/>
          <w:szCs w:val="23"/>
        </w:rPr>
        <w:t xml:space="preserve">b) Store Health Management</w:t>
      </w:r>
    </w:p>
    <w:p>
      <w:pPr>
        <w:pStyle w:val="ListParagraph"/>
        <w:numPr>
          <w:ilvl w:val="0"/>
          <w:numId w:val="2"/>
        </w:numPr>
        <w:spacing w:after="100"/>
      </w:pPr>
      <w:r>
        <w:rPr>
          <w:color w:val="1A1A1A"/>
          <w:sz w:val="22"/>
          <w:szCs w:val="22"/>
        </w:rPr>
        <w:t xml:space="preserve">Monitoring of order defect rate, cancellation rate, and fulfilment SLA.</w:t>
      </w:r>
    </w:p>
    <w:p>
      <w:pPr>
        <w:pStyle w:val="ListParagraph"/>
        <w:numPr>
          <w:ilvl w:val="0"/>
          <w:numId w:val="2"/>
        </w:numPr>
        <w:spacing w:after="100"/>
      </w:pPr>
      <w:r>
        <w:rPr>
          <w:color w:val="1A1A1A"/>
          <w:sz w:val="22"/>
          <w:szCs w:val="22"/>
        </w:rPr>
        <w:t xml:space="preserve">Tracking store rating and customer feedback trends.</w:t>
      </w:r>
    </w:p>
    <w:p>
      <w:pPr>
        <w:pStyle w:val="ListParagraph"/>
        <w:numPr>
          <w:ilvl w:val="0"/>
          <w:numId w:val="2"/>
        </w:numPr>
        <w:spacing w:after="100"/>
      </w:pPr>
      <w:r>
        <w:rPr>
          <w:color w:val="1A1A1A"/>
          <w:sz w:val="22"/>
          <w:szCs w:val="22"/>
        </w:rPr>
        <w:t xml:space="preserve">Proactive alerts and resolution support for any compliance flags raised by Blinkit.</w:t>
      </w:r>
    </w:p>
    <w:p>
      <w:pPr>
        <w:spacing w:after="160"/>
      </w:pPr>
      <w:r>
        <w:rPr>
          <w:b/>
          <w:bCs/>
          <w:color w:val="1A1A1A"/>
          <w:sz w:val="23"/>
          <w:szCs w:val="23"/>
        </w:rPr>
        <w:t xml:space="preserve">c) Advertising &amp; Promotion</w:t>
      </w:r>
    </w:p>
    <w:p>
      <w:pPr>
        <w:pStyle w:val="ListParagraph"/>
        <w:numPr>
          <w:ilvl w:val="0"/>
          <w:numId w:val="2"/>
        </w:numPr>
        <w:spacing w:after="100"/>
      </w:pPr>
      <w:r>
        <w:rPr>
          <w:color w:val="1A1A1A"/>
          <w:sz w:val="22"/>
          <w:szCs w:val="22"/>
        </w:rPr>
        <w:t xml:space="preserve">Management and optimization of your Blinkit Advertising Wallet spend.</w:t>
      </w:r>
    </w:p>
    <w:p>
      <w:pPr>
        <w:pStyle w:val="ListParagraph"/>
        <w:numPr>
          <w:ilvl w:val="0"/>
          <w:numId w:val="2"/>
        </w:numPr>
        <w:spacing w:after="100"/>
      </w:pPr>
      <w:r>
        <w:rPr>
          <w:color w:val="1A1A1A"/>
          <w:sz w:val="22"/>
          <w:szCs w:val="22"/>
        </w:rPr>
        <w:t xml:space="preserve">Running and monitoring sponsored placements to boost SKU visibility.</w:t>
      </w:r>
    </w:p>
    <w:p>
      <w:pPr>
        <w:pStyle w:val="ListParagraph"/>
        <w:numPr>
          <w:ilvl w:val="0"/>
          <w:numId w:val="2"/>
        </w:numPr>
        <w:spacing w:after="100"/>
      </w:pPr>
      <w:r>
        <w:rPr>
          <w:color w:val="1A1A1A"/>
          <w:sz w:val="22"/>
          <w:szCs w:val="22"/>
        </w:rPr>
        <w:t xml:space="preserve">Periodic promotional campaign planning around high-demand periods.</w:t>
      </w:r>
    </w:p>
    <w:p>
      <w:pPr>
        <w:spacing w:after="160"/>
      </w:pPr>
      <w:r>
        <w:rPr>
          <w:b/>
          <w:bCs/>
          <w:color w:val="1A1A1A"/>
          <w:sz w:val="23"/>
          <w:szCs w:val="23"/>
        </w:rPr>
        <w:t xml:space="preserve">d) Multi-City / Multi-State Expansion Support</w:t>
      </w:r>
    </w:p>
    <w:p>
      <w:pPr>
        <w:pStyle w:val="ListParagraph"/>
        <w:numPr>
          <w:ilvl w:val="0"/>
          <w:numId w:val="2"/>
        </w:numPr>
        <w:spacing w:after="100"/>
      </w:pPr>
      <w:r>
        <w:rPr>
          <w:color w:val="1A1A1A"/>
          <w:sz w:val="22"/>
          <w:szCs w:val="22"/>
        </w:rPr>
        <w:t xml:space="preserve">Tracking your brand's performance level (Level 0 to Level 3) with Blinkit.</w:t>
      </w:r>
    </w:p>
    <w:p>
      <w:pPr>
        <w:pStyle w:val="ListParagraph"/>
        <w:numPr>
          <w:ilvl w:val="0"/>
          <w:numId w:val="2"/>
        </w:numPr>
        <w:spacing w:after="100"/>
      </w:pPr>
      <w:r>
        <w:rPr>
          <w:color w:val="1A1A1A"/>
          <w:sz w:val="22"/>
          <w:szCs w:val="22"/>
        </w:rPr>
        <w:t xml:space="preserve">Guidance and documentation support for level upgrades as eligibility is reached.</w:t>
      </w:r>
    </w:p>
    <w:p>
      <w:pPr>
        <w:pStyle w:val="ListParagraph"/>
        <w:numPr>
          <w:ilvl w:val="0"/>
          <w:numId w:val="2"/>
        </w:numPr>
        <w:spacing w:after="100"/>
      </w:pPr>
      <w:r>
        <w:rPr>
          <w:color w:val="1A1A1A"/>
          <w:sz w:val="22"/>
          <w:szCs w:val="22"/>
        </w:rPr>
        <w:t xml:space="preserve">Planning inventory readiness ahead of new city or state rollouts.</w:t>
      </w:r>
    </w:p>
    <w:p>
      <w:pPr>
        <w:spacing w:after="160"/>
      </w:pPr>
      <w:r>
        <w:rPr>
          <w:b/>
          <w:bCs/>
          <w:color w:val="1A1A1A"/>
          <w:sz w:val="23"/>
          <w:szCs w:val="23"/>
        </w:rPr>
        <w:t xml:space="preserve">e) Reporting &amp; Support</w:t>
      </w:r>
    </w:p>
    <w:p>
      <w:pPr>
        <w:pStyle w:val="ListParagraph"/>
        <w:numPr>
          <w:ilvl w:val="0"/>
          <w:numId w:val="2"/>
        </w:numPr>
        <w:spacing w:after="100"/>
      </w:pPr>
      <w:r>
        <w:rPr>
          <w:color w:val="1A1A1A"/>
          <w:sz w:val="22"/>
          <w:szCs w:val="22"/>
        </w:rPr>
        <w:t xml:space="preserve">Periodic performance reports covering sales, visibility, and ad performance.</w:t>
      </w:r>
    </w:p>
    <w:p>
      <w:pPr>
        <w:pStyle w:val="ListParagraph"/>
        <w:numPr>
          <w:ilvl w:val="0"/>
          <w:numId w:val="2"/>
        </w:numPr>
        <w:spacing w:after="100"/>
      </w:pPr>
      <w:r>
        <w:rPr>
          <w:color w:val="1A1A1A"/>
          <w:sz w:val="22"/>
          <w:szCs w:val="22"/>
        </w:rPr>
        <w:t xml:space="preserve">Priority query resolution with Blinkit's seller support channels.</w:t>
      </w:r>
    </w:p>
    <w:p>
      <w:pPr>
        <w:pStyle w:val="ListParagraph"/>
        <w:numPr>
          <w:ilvl w:val="0"/>
          <w:numId w:val="2"/>
        </w:numPr>
        <w:spacing w:after="100"/>
      </w:pPr>
      <w:r>
        <w:rPr>
          <w:color w:val="1A1A1A"/>
          <w:sz w:val="22"/>
          <w:szCs w:val="22"/>
        </w:rPr>
        <w:t xml:space="preserve">A single point of contact for all store-related concerns.</w:t>
      </w:r>
    </w:p>
    <w:p>
      <w:pPr>
        <w:pStyle w:val="Heading1"/>
        <w:spacing w:after="160" w:before="360"/>
      </w:pPr>
      <w:r>
        <w:rPr>
          <w:b/>
          <w:bCs/>
          <w:color w:val="0C831F"/>
          <w:sz w:val="26"/>
          <w:szCs w:val="26"/>
        </w:rPr>
        <w:t xml:space="preserve">3. What This Means for You</w:t>
      </w:r>
    </w:p>
    <w:p>
      <w:pPr>
        <w:pStyle w:val="ListParagraph"/>
        <w:numPr>
          <w:ilvl w:val="0"/>
          <w:numId w:val="2"/>
        </w:numPr>
        <w:spacing w:after="100"/>
      </w:pPr>
      <w:r>
        <w:rPr>
          <w:color w:val="1A1A1A"/>
          <w:sz w:val="22"/>
          <w:szCs w:val="22"/>
        </w:rPr>
        <w:t xml:space="preserve">Your store stays compliant and active without day-to-day monitoring on your end.</w:t>
      </w:r>
    </w:p>
    <w:p>
      <w:pPr>
        <w:pStyle w:val="ListParagraph"/>
        <w:numPr>
          <w:ilvl w:val="0"/>
          <w:numId w:val="2"/>
        </w:numPr>
        <w:spacing w:after="100"/>
      </w:pPr>
      <w:r>
        <w:rPr>
          <w:color w:val="1A1A1A"/>
          <w:sz w:val="22"/>
          <w:szCs w:val="22"/>
        </w:rPr>
        <w:t xml:space="preserve">Consistent visibility and promotion instead of one-time setup and neglect.</w:t>
      </w:r>
    </w:p>
    <w:p>
      <w:pPr>
        <w:pStyle w:val="ListParagraph"/>
        <w:numPr>
          <w:ilvl w:val="0"/>
          <w:numId w:val="2"/>
        </w:numPr>
        <w:spacing w:after="100"/>
      </w:pPr>
      <w:r>
        <w:rPr>
          <w:color w:val="1A1A1A"/>
          <w:sz w:val="22"/>
          <w:szCs w:val="22"/>
        </w:rPr>
        <w:t xml:space="preserve">Faster resolution of issues that could otherwise affect sales or account standing.</w:t>
      </w:r>
    </w:p>
    <w:p>
      <w:pPr>
        <w:pStyle w:val="ListParagraph"/>
        <w:numPr>
          <w:ilvl w:val="0"/>
          <w:numId w:val="2"/>
        </w:numPr>
        <w:spacing w:after="100"/>
      </w:pPr>
      <w:r>
        <w:rPr>
          <w:color w:val="1A1A1A"/>
          <w:sz w:val="22"/>
          <w:szCs w:val="22"/>
        </w:rPr>
        <w:t xml:space="preserve">A structured path toward multi-city and Pan-India expansion.</w:t>
      </w:r>
    </w:p>
    <w:p>
      <w:pPr>
        <w:pStyle w:val="Heading1"/>
        <w:spacing w:after="160" w:before="360"/>
      </w:pPr>
      <w:r>
        <w:rPr>
          <w:b/>
          <w:bCs/>
          <w:color w:val="0C831F"/>
          <w:sz w:val="26"/>
          <w:szCs w:val="26"/>
        </w:rPr>
        <w:t xml:space="preserve">4. Our Offer</w:t>
      </w:r>
    </w:p>
    <w:p>
      <w:pPr>
        <w:spacing w:after="160"/>
      </w:pPr>
      <w:r>
        <w:rPr>
          <w:color w:val="1A1A1A"/>
          <w:sz w:val="22"/>
          <w:szCs w:val="22"/>
        </w:rPr>
        <w:t xml:space="preserve">We want you to experience the value of this service firsthand before making any commitment.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F2F8F0" w:color="auto" w:val="clear"/>
            <w:tcMar>
              <w:top w:type="dxa" w:w="200"/>
              <w:left w:type="dxa" w:w="260"/>
              <w:bottom w:type="dxa" w:w="200"/>
              <w:right w:type="dxa" w:w="260"/>
            </w:tcMar>
          </w:tcPr>
          <w:p>
            <w:pPr>
              <w:spacing w:after="100"/>
            </w:pPr>
            <w:r>
              <w:rPr>
                <w:b/>
                <w:bCs/>
                <w:color w:val="0C831F"/>
                <w:sz w:val="26"/>
                <w:szCs w:val="26"/>
              </w:rPr>
              <w:t xml:space="preserve">Free for the first 15 days</w:t>
            </w:r>
          </w:p>
          <w:p>
            <w:pPr>
              <w:spacing w:after="100"/>
            </w:pPr>
            <w:r>
              <w:rPr>
                <w:color w:val="1A1A1A"/>
                <w:sz w:val="22"/>
                <w:szCs w:val="22"/>
              </w:rPr>
              <w:t xml:space="preserve">We will manage and promote your SKUs and store at no cost for the first 15 days, so you can see the impact directly on your store's performance.</w:t>
            </w:r>
          </w:p>
          <w:p>
            <w:r>
              <w:rPr>
                <w:b/>
                <w:bCs/>
                <w:color w:val="1A1A1A"/>
                <w:sz w:val="22"/>
                <w:szCs w:val="22"/>
              </w:rPr>
              <w:t xml:space="preserve">After the 15-day trial: </w:t>
            </w:r>
            <w:r>
              <w:rPr>
                <w:color w:val="1A1A1A"/>
                <w:sz w:val="22"/>
                <w:szCs w:val="22"/>
              </w:rPr>
              <w:t xml:space="preserve">₹11,999 per month (excluding GST). GST @ 18% will be applied additionally.</w:t>
            </w:r>
          </w:p>
        </w:tc>
      </w:tr>
    </w:tbl>
    <w:p>
      <w:pPr>
        <w:spacing w:after="160" w:before="200"/>
      </w:pPr>
    </w:p>
    <w:p>
      <w:pPr>
        <w:spacing w:after="160"/>
      </w:pPr>
      <w:r>
        <w:rPr>
          <w:color w:val="1A1A1A"/>
          <w:sz w:val="22"/>
          <w:szCs w:val="22"/>
        </w:rPr>
        <w:t xml:space="preserve">No long-term lock-in is required to begin the trial. If you choose to continue after 15 days, billing will start only from Day 16 onward.</w:t>
      </w:r>
    </w:p>
    <w:p>
      <w:pPr>
        <w:pStyle w:val="Heading1"/>
        <w:spacing w:after="160" w:before="360"/>
      </w:pPr>
      <w:r>
        <w:rPr>
          <w:b/>
          <w:bCs/>
          <w:color w:val="0C831F"/>
          <w:sz w:val="26"/>
          <w:szCs w:val="26"/>
        </w:rPr>
        <w:t xml:space="preserve">5. Next Steps</w:t>
      </w:r>
    </w:p>
    <w:p>
      <w:pPr>
        <w:pStyle w:val="ListParagraph"/>
        <w:numPr>
          <w:ilvl w:val="0"/>
          <w:numId w:val="2"/>
        </w:numPr>
        <w:spacing w:after="100"/>
      </w:pPr>
      <w:r>
        <w:rPr>
          <w:color w:val="1A1A1A"/>
          <w:sz w:val="22"/>
          <w:szCs w:val="22"/>
        </w:rPr>
        <w:t xml:space="preserve">Confirm your interest to begin the 15-day free maintenance and promotion trial.</w:t>
      </w:r>
    </w:p>
    <w:p>
      <w:pPr>
        <w:pStyle w:val="ListParagraph"/>
        <w:numPr>
          <w:ilvl w:val="0"/>
          <w:numId w:val="2"/>
        </w:numPr>
        <w:spacing w:after="100"/>
      </w:pPr>
      <w:r>
        <w:rPr>
          <w:color w:val="1A1A1A"/>
          <w:sz w:val="22"/>
          <w:szCs w:val="22"/>
        </w:rPr>
        <w:t xml:space="preserve">Share current store access / SKU list for our team to begin the audit.</w:t>
      </w:r>
    </w:p>
    <w:p>
      <w:pPr>
        <w:pStyle w:val="ListParagraph"/>
        <w:numPr>
          <w:ilvl w:val="0"/>
          <w:numId w:val="2"/>
        </w:numPr>
        <w:spacing w:after="100"/>
      </w:pPr>
      <w:r>
        <w:rPr>
          <w:color w:val="1A1A1A"/>
          <w:sz w:val="22"/>
          <w:szCs w:val="22"/>
        </w:rPr>
        <w:t xml:space="preserve">We assign a dedicated point of contact and begin work within 24-48 hours.</w:t>
      </w:r>
    </w:p>
    <w:p>
      <w:pPr>
        <w:pBdr>
          <w:bottom w:val="single" w:color="CCCCCC" w:sz="6" w:space="1"/>
        </w:pBdr>
        <w:spacing w:after="240" w:before="120"/>
      </w:pPr>
    </w:p>
    <w:p>
      <w:pPr>
        <w:spacing w:after="160"/>
      </w:pPr>
      <w:r>
        <w:rPr>
          <w:color w:val="1A1A1A"/>
          <w:sz w:val="22"/>
          <w:szCs w:val="22"/>
        </w:rPr>
        <w:t xml:space="preserve">We look forward to continuing to support your growth on Blinkit. For any questions on this proposal, please reach out to your Androinframind account contact.</w:t>
      </w:r>
    </w:p>
    <w:p>
      <w:pPr>
        <w:spacing w:before="200"/>
      </w:pPr>
      <w:r>
        <w:rPr>
          <w:color w:val="1A1A1A"/>
          <w:sz w:val="22"/>
          <w:szCs w:val="22"/>
        </w:rPr>
        <w:t xml:space="preserve">Warm regards,</w:t>
      </w:r>
    </w:p>
    <w:p>
      <w:r>
        <w:rPr>
          <w:b/>
          <w:bCs/>
          <w:color w:val="1A1A1A"/>
          <w:sz w:val="22"/>
          <w:szCs w:val="22"/>
        </w:rPr>
        <w:t xml:space="preserve">Team Androinframind</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2026-07-01T12:26:32.178Z</dcterms:created>
  <dcterms:modified xsi:type="dcterms:W3CDTF">2026-07-01T12:26:32.178Z</dcterms:modified>
</cp:coreProperties>
</file>

<file path=docProps/custom.xml><?xml version="1.0" encoding="utf-8"?>
<Properties xmlns="http://schemas.openxmlformats.org/officeDocument/2006/custom-properties" xmlns:vt="http://schemas.openxmlformats.org/officeDocument/2006/docPropsVTypes"/>
</file>