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5C2F6" w14:textId="77777777" w:rsidR="006E0E0A" w:rsidRPr="00D67374" w:rsidRDefault="006E0E0A" w:rsidP="006E0E0A">
      <w:pPr>
        <w:pStyle w:val="NoSpacing"/>
        <w:rPr>
          <w:rFonts w:asciiTheme="majorHAnsi" w:eastAsiaTheme="majorEastAsia" w:hAnsiTheme="majorHAnsi" w:cstheme="majorBidi"/>
          <w:sz w:val="80"/>
          <w:szCs w:val="80"/>
          <w:lang w:val="pt-BR"/>
        </w:rPr>
      </w:pPr>
    </w:p>
    <w:p w14:paraId="77B10721" w14:textId="77777777" w:rsidR="006E0E0A" w:rsidRPr="00D67374" w:rsidRDefault="006E0E0A" w:rsidP="006E0E0A">
      <w:pPr>
        <w:pStyle w:val="NoSpacing"/>
        <w:rPr>
          <w:rFonts w:asciiTheme="majorHAnsi" w:eastAsiaTheme="majorEastAsia" w:hAnsiTheme="majorHAnsi" w:cstheme="majorBidi"/>
          <w:sz w:val="80"/>
          <w:szCs w:val="80"/>
          <w:lang w:val="pt-BR"/>
        </w:rPr>
      </w:pPr>
    </w:p>
    <w:p w14:paraId="7DDCE77F" w14:textId="77777777" w:rsidR="006E0E0A" w:rsidRPr="00D67374" w:rsidRDefault="006E0E0A" w:rsidP="006E0E0A">
      <w:pPr>
        <w:pStyle w:val="NoSpacing"/>
        <w:rPr>
          <w:rFonts w:asciiTheme="majorHAnsi" w:eastAsiaTheme="majorEastAsia" w:hAnsiTheme="majorHAnsi" w:cstheme="majorBidi"/>
          <w:sz w:val="80"/>
          <w:szCs w:val="80"/>
          <w:lang w:val="pt-BR"/>
        </w:rPr>
      </w:pPr>
    </w:p>
    <w:p w14:paraId="76739E99" w14:textId="77777777" w:rsidR="006E0E0A" w:rsidRPr="00D67374" w:rsidRDefault="006E0E0A" w:rsidP="006E0E0A">
      <w:pPr>
        <w:pStyle w:val="NoSpacing"/>
        <w:rPr>
          <w:rFonts w:asciiTheme="majorHAnsi" w:eastAsiaTheme="majorEastAsia" w:hAnsiTheme="majorHAnsi" w:cstheme="majorBidi"/>
          <w:sz w:val="80"/>
          <w:szCs w:val="80"/>
          <w:lang w:val="pt-BR"/>
        </w:rPr>
      </w:pPr>
    </w:p>
    <w:p w14:paraId="0807580C" w14:textId="419E7B76" w:rsidR="006E0E0A" w:rsidRPr="00D67374" w:rsidRDefault="006E0E0A" w:rsidP="006E0E0A">
      <w:pPr>
        <w:pStyle w:val="NoSpacing"/>
        <w:jc w:val="center"/>
        <w:rPr>
          <w:rFonts w:asciiTheme="majorHAnsi" w:eastAsiaTheme="majorEastAsia" w:hAnsiTheme="majorHAnsi" w:cstheme="majorBidi"/>
          <w:sz w:val="80"/>
          <w:szCs w:val="80"/>
          <w:lang w:val="pt-BR"/>
        </w:rPr>
      </w:pPr>
      <w:r w:rsidRPr="00D67374">
        <w:rPr>
          <w:rFonts w:asciiTheme="majorHAnsi" w:eastAsiaTheme="majorEastAsia" w:hAnsiTheme="majorHAnsi" w:cstheme="majorBidi"/>
          <w:noProof/>
          <w:sz w:val="80"/>
          <w:szCs w:val="80"/>
          <w:lang w:val="pt-BR" w:eastAsia="pt-BR"/>
        </w:rPr>
        <w:drawing>
          <wp:inline distT="0" distB="0" distL="0" distR="0" wp14:anchorId="3739070E" wp14:editId="429AA450">
            <wp:extent cx="1581150" cy="1285875"/>
            <wp:effectExtent l="0" t="0" r="0" b="9525"/>
            <wp:docPr id="2" name="Imagem 2"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Logotipo&#10;&#10;Descrição gerad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1150" cy="1285875"/>
                    </a:xfrm>
                    <a:prstGeom prst="rect">
                      <a:avLst/>
                    </a:prstGeom>
                    <a:noFill/>
                    <a:ln>
                      <a:noFill/>
                    </a:ln>
                  </pic:spPr>
                </pic:pic>
              </a:graphicData>
            </a:graphic>
          </wp:inline>
        </w:drawing>
      </w:r>
    </w:p>
    <w:p w14:paraId="4021272D" w14:textId="3906A6DB" w:rsidR="006E0E0A" w:rsidRPr="00006846" w:rsidRDefault="001D2C74" w:rsidP="006E0E0A">
      <w:pPr>
        <w:pStyle w:val="NoSpacing"/>
        <w:jc w:val="center"/>
        <w:rPr>
          <w:rFonts w:asciiTheme="majorHAnsi" w:eastAsiaTheme="majorEastAsia" w:hAnsiTheme="majorHAnsi" w:cstheme="majorBidi"/>
          <w:b/>
          <w:bCs/>
          <w:sz w:val="80"/>
          <w:szCs w:val="80"/>
          <w:lang w:val="pt-BR"/>
        </w:rPr>
      </w:pPr>
      <w:r>
        <w:rPr>
          <w:rFonts w:asciiTheme="majorHAnsi" w:eastAsiaTheme="majorEastAsia" w:hAnsiTheme="majorHAnsi" w:cstheme="majorBidi"/>
          <w:b/>
          <w:bCs/>
          <w:sz w:val="80"/>
          <w:szCs w:val="80"/>
          <w:lang w:val="pt-BR"/>
        </w:rPr>
        <w:t>Prêmio IEL de Talentos</w:t>
      </w:r>
    </w:p>
    <w:p w14:paraId="4151BD1F" w14:textId="5AAEE3F0" w:rsidR="006E0E0A" w:rsidRPr="00D67374" w:rsidRDefault="006E0E0A" w:rsidP="006E0E0A">
      <w:pPr>
        <w:pStyle w:val="NoSpacing"/>
        <w:jc w:val="center"/>
        <w:rPr>
          <w:rFonts w:asciiTheme="majorHAnsi" w:eastAsiaTheme="majorEastAsia" w:hAnsiTheme="majorHAnsi" w:cstheme="majorBidi"/>
          <w:sz w:val="80"/>
          <w:szCs w:val="80"/>
          <w:lang w:val="pt-BR"/>
        </w:rPr>
      </w:pPr>
    </w:p>
    <w:p w14:paraId="37A37D4A" w14:textId="77F33501" w:rsidR="00596736" w:rsidRPr="00D67374" w:rsidRDefault="00596736"/>
    <w:p w14:paraId="48457115" w14:textId="2B100713" w:rsidR="006E0E0A" w:rsidRPr="00D67374" w:rsidRDefault="006E0E0A"/>
    <w:p w14:paraId="20EC3294" w14:textId="205D26F8" w:rsidR="006E0E0A" w:rsidRPr="00D67374" w:rsidRDefault="006E0E0A"/>
    <w:p w14:paraId="30ACAB59" w14:textId="6B363219" w:rsidR="006E0E0A" w:rsidRPr="00D67374" w:rsidRDefault="006E0E0A"/>
    <w:p w14:paraId="192CCED6" w14:textId="6707B4FE" w:rsidR="006E0E0A" w:rsidRPr="00D67374" w:rsidRDefault="006E0E0A"/>
    <w:p w14:paraId="2DB75887" w14:textId="6DCC0E3A" w:rsidR="006E0E0A" w:rsidRPr="00D67374" w:rsidRDefault="006E0E0A"/>
    <w:p w14:paraId="484AC972" w14:textId="781EF659" w:rsidR="006E0E0A" w:rsidRPr="00D67374" w:rsidRDefault="006E0E0A"/>
    <w:p w14:paraId="56DDAFAA" w14:textId="11A8E600" w:rsidR="006E0E0A" w:rsidRPr="00D67374" w:rsidRDefault="006E0E0A"/>
    <w:p w14:paraId="178C4E4B" w14:textId="7CA440E0" w:rsidR="006E0E0A" w:rsidRPr="00D67374" w:rsidRDefault="006E0E0A"/>
    <w:p w14:paraId="4459C2F7" w14:textId="429965A8" w:rsidR="006E0E0A" w:rsidRPr="00D67374" w:rsidRDefault="006E0E0A"/>
    <w:p w14:paraId="11DDB567" w14:textId="0184DBF5" w:rsidR="006E0E0A" w:rsidRPr="00D67374" w:rsidRDefault="006E0E0A"/>
    <w:p w14:paraId="60F6E792" w14:textId="1142EA2C" w:rsidR="006E0E0A" w:rsidRPr="00D67374" w:rsidRDefault="006E0E0A"/>
    <w:p w14:paraId="4F1E4AB0" w14:textId="58241E53" w:rsidR="00D56ACC" w:rsidRPr="00D67374" w:rsidRDefault="00D56ACC"/>
    <w:p w14:paraId="7CAC2E90" w14:textId="77777777" w:rsidR="00D56ACC" w:rsidRPr="00D67374" w:rsidRDefault="00D56ACC"/>
    <w:p w14:paraId="63F66D0B" w14:textId="7FC21ED3" w:rsidR="006E0E0A" w:rsidRPr="00D67374" w:rsidRDefault="006E0E0A"/>
    <w:p w14:paraId="55259111" w14:textId="1D3B224D" w:rsidR="006E0E0A" w:rsidRPr="00D67374" w:rsidRDefault="006E0E0A"/>
    <w:p w14:paraId="009FB7BF" w14:textId="0A58D0B7" w:rsidR="006E0E0A" w:rsidRPr="00D67374" w:rsidRDefault="006E0E0A"/>
    <w:p w14:paraId="72F20CC4" w14:textId="4AE0C153" w:rsidR="006E0E0A" w:rsidRPr="00D67374" w:rsidRDefault="006E0E0A"/>
    <w:p w14:paraId="6BC4BC43" w14:textId="488F111E" w:rsidR="00EB1382" w:rsidRPr="00D67374" w:rsidRDefault="00D56ACC" w:rsidP="00D56ACC">
      <w:pPr>
        <w:jc w:val="center"/>
        <w:rPr>
          <w:b/>
          <w:bCs/>
          <w:sz w:val="28"/>
          <w:szCs w:val="28"/>
        </w:rPr>
      </w:pPr>
      <w:r w:rsidRPr="00D67374">
        <w:rPr>
          <w:b/>
          <w:bCs/>
          <w:sz w:val="28"/>
          <w:szCs w:val="28"/>
        </w:rPr>
        <w:lastRenderedPageBreak/>
        <w:t>Especificação Funcional</w:t>
      </w:r>
    </w:p>
    <w:p w14:paraId="0832084D" w14:textId="02751C16" w:rsidR="00D56ACC" w:rsidRPr="00D67374" w:rsidRDefault="00D56ACC" w:rsidP="00D56ACC"/>
    <w:p w14:paraId="61C32E9D" w14:textId="17E026D7" w:rsidR="00D56ACC" w:rsidRPr="00D67374" w:rsidRDefault="00D56ACC" w:rsidP="00D56ACC"/>
    <w:p w14:paraId="0D3EBC82" w14:textId="3AD275C2" w:rsidR="00D56ACC" w:rsidRPr="00D67374" w:rsidRDefault="00D56ACC" w:rsidP="00D56ACC"/>
    <w:p w14:paraId="36FC6599" w14:textId="0BD27B6C" w:rsidR="00D56ACC" w:rsidRPr="00D67374" w:rsidRDefault="00D56ACC" w:rsidP="00D56ACC"/>
    <w:p w14:paraId="24D593BC" w14:textId="77777777" w:rsidR="00D56ACC" w:rsidRPr="00D67374" w:rsidRDefault="00D56ACC" w:rsidP="00D56ACC"/>
    <w:p w14:paraId="2EACC4FE" w14:textId="0600A5F7" w:rsidR="006E668C" w:rsidRPr="00D67374" w:rsidRDefault="001D2C74" w:rsidP="00D56ACC">
      <w:pPr>
        <w:jc w:val="right"/>
        <w:rPr>
          <w:b/>
          <w:bCs/>
          <w:sz w:val="28"/>
          <w:szCs w:val="28"/>
        </w:rPr>
      </w:pPr>
      <w:r>
        <w:rPr>
          <w:b/>
          <w:bCs/>
          <w:sz w:val="28"/>
          <w:szCs w:val="28"/>
        </w:rPr>
        <w:t>HU001 – Configurar Criterios de Desempate</w:t>
      </w:r>
      <w:r w:rsidR="006E668C" w:rsidRPr="00D67374">
        <w:rPr>
          <w:b/>
          <w:bCs/>
          <w:sz w:val="28"/>
          <w:szCs w:val="28"/>
        </w:rPr>
        <w:t xml:space="preserve"/>
      </w:r>
      <w:r>
        <w:rPr>
          <w:b/>
          <w:bCs/>
          <w:sz w:val="28"/>
          <w:szCs w:val="28"/>
        </w:rPr>
        <w:t/>
      </w:r>
    </w:p>
    <w:p w14:paraId="76B09FA4" w14:textId="3E724827" w:rsidR="00FF2F1B" w:rsidRPr="00D67374" w:rsidRDefault="00FF2F1B" w:rsidP="00D56ACC"/>
    <w:p w14:paraId="4146C5C7" w14:textId="623DB9A1" w:rsidR="00D56ACC" w:rsidRPr="00D67374" w:rsidRDefault="00D56ACC" w:rsidP="00D56ACC"/>
    <w:p w14:paraId="7507353E" w14:textId="309290F9" w:rsidR="00D56ACC" w:rsidRPr="00D67374" w:rsidRDefault="00D56ACC" w:rsidP="00D56ACC"/>
    <w:p w14:paraId="33166822" w14:textId="75F5DFE8" w:rsidR="00D56ACC" w:rsidRPr="00D67374" w:rsidRDefault="00D56ACC" w:rsidP="00D56ACC">
      <w:pPr>
        <w:pStyle w:val="AxureHeadingBasic"/>
        <w:keepNext/>
        <w:jc w:val="center"/>
        <w:rPr>
          <w:sz w:val="22"/>
          <w:szCs w:val="28"/>
          <w:u w:val="none"/>
        </w:rPr>
      </w:pPr>
      <w:r w:rsidRPr="00D67374">
        <w:rPr>
          <w:sz w:val="22"/>
          <w:szCs w:val="28"/>
          <w:u w:val="none"/>
        </w:rPr>
        <w:t>Histórico de Versões</w:t>
      </w:r>
    </w:p>
    <w:p w14:paraId="01D06745" w14:textId="77777777" w:rsidR="00D56ACC" w:rsidRPr="00D67374" w:rsidRDefault="00D56ACC" w:rsidP="00D56ACC"/>
    <w:tbl>
      <w:tblPr>
        <w:tblStyle w:val="TableGrid"/>
        <w:tblW w:w="0" w:type="auto"/>
        <w:tblLook w:val="04A0" w:firstRow="1" w:lastRow="0" w:firstColumn="1" w:lastColumn="0" w:noHBand="0" w:noVBand="1"/>
      </w:tblPr>
      <w:tblGrid>
        <w:gridCol w:w="1065"/>
        <w:gridCol w:w="1617"/>
        <w:gridCol w:w="5401"/>
        <w:gridCol w:w="1545"/>
      </w:tblGrid>
      <w:tr w:rsidR="00D56ACC" w:rsidRPr="00D67374" w14:paraId="65F9CE05" w14:textId="77777777" w:rsidTr="00D56ACC">
        <w:tc>
          <w:tcPr>
            <w:tcW w:w="1077" w:type="dxa"/>
            <w:vAlign w:val="center"/>
          </w:tcPr>
          <w:p w14:paraId="4D4ACC6E" w14:textId="77777777" w:rsidR="00D56ACC" w:rsidRPr="00D67374" w:rsidRDefault="00D56ACC" w:rsidP="007C1EAE">
            <w:pPr>
              <w:spacing w:before="0"/>
              <w:jc w:val="center"/>
              <w:rPr>
                <w:b/>
                <w:bCs/>
              </w:rPr>
            </w:pPr>
            <w:r w:rsidRPr="00D67374">
              <w:rPr>
                <w:b/>
                <w:bCs/>
              </w:rPr>
              <w:t>Versão</w:t>
            </w:r>
          </w:p>
        </w:tc>
        <w:tc>
          <w:tcPr>
            <w:tcW w:w="1367" w:type="dxa"/>
            <w:vAlign w:val="center"/>
          </w:tcPr>
          <w:p w14:paraId="49917253" w14:textId="77777777" w:rsidR="00D56ACC" w:rsidRPr="00D67374" w:rsidRDefault="00D56ACC" w:rsidP="007C1EAE">
            <w:pPr>
              <w:spacing w:before="0"/>
              <w:jc w:val="center"/>
              <w:rPr>
                <w:b/>
                <w:bCs/>
              </w:rPr>
            </w:pPr>
            <w:r w:rsidRPr="00D67374">
              <w:rPr>
                <w:b/>
                <w:bCs/>
              </w:rPr>
              <w:t>Data</w:t>
            </w:r>
          </w:p>
        </w:tc>
        <w:tc>
          <w:tcPr>
            <w:tcW w:w="5616" w:type="dxa"/>
            <w:vAlign w:val="center"/>
          </w:tcPr>
          <w:p w14:paraId="6BDBB63D" w14:textId="77777777" w:rsidR="00D56ACC" w:rsidRPr="00D67374" w:rsidRDefault="00D56ACC" w:rsidP="007C1EAE">
            <w:pPr>
              <w:spacing w:before="0"/>
              <w:jc w:val="center"/>
              <w:rPr>
                <w:b/>
                <w:bCs/>
              </w:rPr>
            </w:pPr>
            <w:r w:rsidRPr="00D67374">
              <w:rPr>
                <w:b/>
                <w:bCs/>
              </w:rPr>
              <w:t>Descrição</w:t>
            </w:r>
          </w:p>
        </w:tc>
        <w:tc>
          <w:tcPr>
            <w:tcW w:w="1568" w:type="dxa"/>
            <w:vAlign w:val="center"/>
          </w:tcPr>
          <w:p w14:paraId="66EB2510" w14:textId="77777777" w:rsidR="00D56ACC" w:rsidRPr="00D67374" w:rsidRDefault="00D56ACC" w:rsidP="007C1EAE">
            <w:pPr>
              <w:spacing w:before="0"/>
              <w:jc w:val="center"/>
              <w:rPr>
                <w:b/>
                <w:bCs/>
              </w:rPr>
            </w:pPr>
            <w:r w:rsidRPr="00D67374">
              <w:rPr>
                <w:b/>
                <w:bCs/>
              </w:rPr>
              <w:t>Autor</w:t>
            </w:r>
          </w:p>
        </w:tc>
      </w:tr>
      <w:tr w:rsidR="00D56ACC" w:rsidRPr="00D67374" w14:paraId="785796EF" w14:textId="77777777" w:rsidTr="00D56ACC">
        <w:tc>
          <w:tcPr>
            <w:tcW w:w="1077" w:type="dxa"/>
            <w:vAlign w:val="center"/>
          </w:tcPr>
          <w:p w14:paraId="3B6195A5" w14:textId="77777777" w:rsidR="00D56ACC" w:rsidRPr="00D67374" w:rsidRDefault="00D56ACC" w:rsidP="007C1EAE">
            <w:pPr>
              <w:spacing w:before="0"/>
              <w:jc w:val="center"/>
            </w:pPr>
            <w:r>
              <w:t>1.0</w:t>
            </w:r>
          </w:p>
        </w:tc>
        <w:tc>
          <w:tcPr>
            <w:tcW w:w="1367" w:type="dxa"/>
            <w:vAlign w:val="center"/>
          </w:tcPr>
          <w:p w14:paraId="29B6B023" w14:textId="393BC5C3" w:rsidR="00D56ACC" w:rsidRPr="00D67374" w:rsidRDefault="001D2C74" w:rsidP="009F0670">
            <w:pPr>
              <w:spacing w:before="0"/>
              <w:jc w:val="center"/>
            </w:pPr>
            <w:r>
              <w:t>07/05/2026</w:t>
            </w:r>
          </w:p>
        </w:tc>
        <w:tc>
          <w:tcPr>
            <w:tcW w:w="5616" w:type="dxa"/>
            <w:vAlign w:val="center"/>
          </w:tcPr>
          <w:p w14:paraId="608FF658" w14:textId="77777777" w:rsidR="00D56ACC" w:rsidRPr="00D67374" w:rsidRDefault="00D56ACC" w:rsidP="007C1EAE">
            <w:pPr>
              <w:spacing w:before="0"/>
            </w:pPr>
            <w:r>
              <w:t>Versão inicial — documenta a feature de Critérios de Desempate (V00023) introduzida na branch feature/criterio-desempate-avaliacao. Cobre a configuração lexicográfica dos critérios na premiação e a decisão manual de desempate aplicada no fechamento de etapa quando empates persistem.</w:t>
            </w:r>
          </w:p>
        </w:tc>
        <w:tc>
          <w:tcPr>
            <w:tcW w:w="1568" w:type="dxa"/>
            <w:vAlign w:val="center"/>
          </w:tcPr>
          <w:p w14:paraId="0DEA80B0" w14:textId="64E9F643" w:rsidR="00D56ACC" w:rsidRPr="00D67374" w:rsidRDefault="001D2C74" w:rsidP="007C1EAE">
            <w:pPr>
              <w:spacing w:before="0"/>
              <w:jc w:val="center"/>
            </w:pPr>
            <w:r>
              <w:t>PHL Serviços de Informática</w:t>
            </w:r>
          </w:p>
        </w:tc>
      </w:tr>
      <w:tr w:rsidR="00D56ACC" w:rsidRPr="00D67374" w14:paraId="00CFDEF2" w14:textId="77777777" w:rsidTr="00D56ACC">
        <w:tc>
          <w:tcPr>
            <w:tcW w:w="1077" w:type="dxa"/>
            <w:vAlign w:val="center"/>
          </w:tcPr>
          <w:p w14:paraId="5346351A" w14:textId="7BD18B8C" w:rsidR="00D56ACC" w:rsidRPr="00D67374" w:rsidRDefault="00D56ACC" w:rsidP="007C1EAE">
            <w:pPr>
              <w:spacing w:before="0"/>
              <w:jc w:val="center"/>
            </w:pPr>
            <w:r>
              <w:t>1.1</w:t>
            </w:r>
          </w:p>
        </w:tc>
        <w:tc>
          <w:tcPr>
            <w:tcW w:w="1367" w:type="dxa"/>
            <w:vAlign w:val="center"/>
          </w:tcPr>
          <w:p w14:paraId="476FFE09" w14:textId="30244E03" w:rsidR="00D56ACC" w:rsidRPr="00D67374" w:rsidRDefault="00D56ACC" w:rsidP="009F0670">
            <w:pPr>
              <w:spacing w:before="0"/>
              <w:jc w:val="center"/>
            </w:pPr>
            <w:r>
              <w:t>07/05/2026</w:t>
            </w:r>
          </w:p>
        </w:tc>
        <w:tc>
          <w:tcPr>
            <w:tcW w:w="5616" w:type="dxa"/>
            <w:vAlign w:val="center"/>
          </w:tcPr>
          <w:p w14:paraId="2E718613" w14:textId="6B261C9B" w:rsidR="003350C2" w:rsidRPr="00D67374" w:rsidRDefault="003350C2" w:rsidP="00D86A31">
            <w:pPr>
              <w:spacing w:before="0"/>
            </w:pPr>
            <w:r>
              <w:t>Remoção da tela ‘Linha do Ranking com Empate’ para evitar duplicação com a HU ‘Fechar Etapa de Avaliação’ (v1.3), que passa a documentar os elementos visuais do empate persistente diretamente na sua própria tela de Fechamento. Esta HU mantém o foco na configuração lexicográfica dos critérios e no drawer de decisão manual.</w:t>
            </w:r>
          </w:p>
        </w:tc>
        <w:tc>
          <w:tcPr>
            <w:tcW w:w="1568" w:type="dxa"/>
            <w:vAlign w:val="center"/>
          </w:tcPr>
          <w:p w14:paraId="54314278" w14:textId="133ECC08" w:rsidR="00D56ACC" w:rsidRPr="00D67374" w:rsidRDefault="00D56ACC" w:rsidP="007C1EAE">
            <w:pPr>
              <w:spacing w:before="0"/>
              <w:jc w:val="center"/>
            </w:pPr>
            <w:r>
              <w:t>PHL Serviços de Informática</w:t>
            </w:r>
          </w:p>
        </w:tc>
      </w:tr>
      <w:tr w:rsidR="00EB4695" w:rsidRPr="00D67374" w14:paraId="7BFA2998" w14:textId="77777777" w:rsidTr="00D56ACC">
        <w:tc>
          <w:tcPr>
            <w:tcW w:w="1077" w:type="dxa"/>
            <w:vAlign w:val="center"/>
          </w:tcPr>
          <w:p w14:paraId="2274B99A" w14:textId="75BD5AB9" w:rsidR="00EB4695" w:rsidRPr="00D67374" w:rsidRDefault="00EB4695" w:rsidP="007C1EAE">
            <w:pPr>
              <w:spacing w:before="0"/>
              <w:jc w:val="center"/>
            </w:pPr>
            <w:r>
              <w:t>1.2</w:t>
            </w:r>
          </w:p>
        </w:tc>
        <w:tc>
          <w:tcPr>
            <w:tcW w:w="1367" w:type="dxa"/>
            <w:vAlign w:val="center"/>
          </w:tcPr>
          <w:p w14:paraId="73010256" w14:textId="22782202" w:rsidR="00EB4695" w:rsidRPr="00D67374" w:rsidRDefault="00EB4695" w:rsidP="007C1EAE">
            <w:pPr>
              <w:spacing w:before="0"/>
              <w:jc w:val="center"/>
            </w:pPr>
            <w:r>
              <w:t>22/06/2026</w:t>
            </w:r>
          </w:p>
        </w:tc>
        <w:tc>
          <w:tcPr>
            <w:tcW w:w="5616" w:type="dxa"/>
            <w:vAlign w:val="center"/>
          </w:tcPr>
          <w:p w14:paraId="08C3A2B1" w14:textId="4D526BCC" w:rsidR="00C52D19" w:rsidRPr="00D67374" w:rsidRDefault="00C52D19" w:rsidP="007C1EAE">
            <w:pPr>
              <w:spacing w:before="0"/>
            </w:pPr>
            <w:r>
              <w:t>Reorganização do escopo: o detalhamento do desempate manual (funcionalidade ‘Registrar Desempate Manual no Fechamento de Etapa’, a tela ‘Drawer de Desempate Manual’ com o respectivo print, e as regras/perfis associados) foi transferido para a HU ‘Fechar Etapa de Avaliação’, onde a ação ocorre negocialmente. Esta HU passa a tratar exclusivamente da configuração lexicográfica dos critérios automáticos dentro da edição da premiação e do bloqueio de edição na janela de fechamento.</w:t>
            </w:r>
          </w:p>
        </w:tc>
        <w:tc>
          <w:tcPr>
            <w:tcW w:w="1568" w:type="dxa"/>
            <w:vAlign w:val="center"/>
          </w:tcPr>
          <w:p w14:paraId="5445271B" w14:textId="30E37E7C" w:rsidR="00EB4695" w:rsidRPr="00D67374" w:rsidRDefault="00EB4695" w:rsidP="007C1EAE">
            <w:pPr>
              <w:spacing w:before="0"/>
              <w:jc w:val="center"/>
            </w:pPr>
            <w:r>
              <w:t>PHL Serviços de Informática</w:t>
            </w:r>
          </w:p>
        </w:tc>
      </w:tr>
    </w:tbl>
    <w:p w14:paraId="48A383F7" w14:textId="77777777" w:rsidR="00D56ACC" w:rsidRPr="00D67374" w:rsidRDefault="00D56ACC" w:rsidP="00EF6204"/>
    <w:p w14:paraId="5706A535" w14:textId="512E27B3" w:rsidR="007A3DB3" w:rsidRPr="00D67374" w:rsidRDefault="007A3DB3" w:rsidP="00EF6204"/>
    <w:p w14:paraId="1FBE8712" w14:textId="77777777" w:rsidR="00EF6204" w:rsidRPr="00D67374" w:rsidRDefault="00EF6204" w:rsidP="003E3E5C">
      <w:pPr>
        <w:rPr>
          <w:b/>
          <w:bCs/>
          <w:szCs w:val="18"/>
          <w:u w:val="single"/>
        </w:rPr>
      </w:pPr>
    </w:p>
    <w:p w14:paraId="0FED9354" w14:textId="77777777" w:rsidR="00D86A31" w:rsidRPr="00D67374" w:rsidRDefault="00D86A31" w:rsidP="003E3E5C">
      <w:pPr>
        <w:rPr>
          <w:b/>
          <w:bCs/>
          <w:szCs w:val="18"/>
          <w:u w:val="single"/>
        </w:rPr>
      </w:pPr>
    </w:p>
    <w:p w14:paraId="4B9D8B89" w14:textId="77777777" w:rsidR="00D86A31" w:rsidRPr="00D67374" w:rsidRDefault="00D86A31" w:rsidP="003E3E5C">
      <w:pPr>
        <w:rPr>
          <w:b/>
          <w:bCs/>
          <w:szCs w:val="18"/>
          <w:u w:val="single"/>
        </w:rPr>
      </w:pPr>
    </w:p>
    <w:p w14:paraId="0E9308D1" w14:textId="77777777" w:rsidR="00D86A31" w:rsidRDefault="00D86A31" w:rsidP="003E3E5C">
      <w:pPr>
        <w:rPr>
          <w:b/>
          <w:bCs/>
          <w:szCs w:val="18"/>
          <w:u w:val="single"/>
        </w:rPr>
      </w:pPr>
    </w:p>
    <w:p w14:paraId="29F0582F" w14:textId="77777777" w:rsidR="00EC46F8" w:rsidRDefault="00EC46F8" w:rsidP="003E3E5C">
      <w:pPr>
        <w:rPr>
          <w:b/>
          <w:bCs/>
          <w:szCs w:val="18"/>
          <w:u w:val="single"/>
        </w:rPr>
      </w:pPr>
    </w:p>
    <w:p w14:paraId="0473CA1C" w14:textId="77777777" w:rsidR="00EC46F8" w:rsidRDefault="00EC46F8" w:rsidP="003E3E5C">
      <w:pPr>
        <w:rPr>
          <w:b/>
          <w:bCs/>
          <w:szCs w:val="18"/>
          <w:u w:val="single"/>
        </w:rPr>
      </w:pPr>
    </w:p>
    <w:p w14:paraId="4212B947" w14:textId="77777777" w:rsidR="00EC46F8" w:rsidRDefault="00EC46F8" w:rsidP="003E3E5C">
      <w:pPr>
        <w:rPr>
          <w:b/>
          <w:bCs/>
          <w:szCs w:val="18"/>
          <w:u w:val="single"/>
        </w:rPr>
      </w:pPr>
    </w:p>
    <w:p w14:paraId="4EDB5454" w14:textId="77777777" w:rsidR="00EC46F8" w:rsidRDefault="00EC46F8" w:rsidP="003E3E5C">
      <w:pPr>
        <w:rPr>
          <w:b/>
          <w:bCs/>
          <w:szCs w:val="18"/>
          <w:u w:val="single"/>
        </w:rPr>
      </w:pPr>
    </w:p>
    <w:p w14:paraId="44E8A79B" w14:textId="77777777" w:rsidR="00EC46F8" w:rsidRDefault="00EC46F8" w:rsidP="003E3E5C">
      <w:pPr>
        <w:rPr>
          <w:b/>
          <w:bCs/>
          <w:szCs w:val="18"/>
          <w:u w:val="single"/>
        </w:rPr>
      </w:pPr>
    </w:p>
    <w:p w14:paraId="4485E412" w14:textId="77777777" w:rsidR="00EC46F8" w:rsidRDefault="00EC46F8" w:rsidP="003E3E5C">
      <w:pPr>
        <w:rPr>
          <w:b/>
          <w:bCs/>
          <w:szCs w:val="18"/>
          <w:u w:val="single"/>
        </w:rPr>
      </w:pPr>
    </w:p>
    <w:p w14:paraId="17C8BEC9" w14:textId="77777777" w:rsidR="00EC46F8" w:rsidRDefault="00EC46F8" w:rsidP="003E3E5C">
      <w:pPr>
        <w:rPr>
          <w:b/>
          <w:bCs/>
          <w:szCs w:val="18"/>
          <w:u w:val="single"/>
        </w:rPr>
      </w:pPr>
    </w:p>
    <w:p w14:paraId="313062B9" w14:textId="77777777" w:rsidR="00EC46F8" w:rsidRDefault="00EC46F8" w:rsidP="003E3E5C">
      <w:pPr>
        <w:rPr>
          <w:b/>
          <w:bCs/>
          <w:szCs w:val="18"/>
          <w:u w:val="single"/>
        </w:rPr>
      </w:pPr>
    </w:p>
    <w:p w14:paraId="7AB1F5E8" w14:textId="11DA9513" w:rsidR="00EC46F8" w:rsidRDefault="00EC46F8">
      <w:pPr>
        <w:spacing w:before="0" w:after="160" w:line="259" w:lineRule="auto"/>
        <w:rPr>
          <w:b/>
          <w:bCs/>
          <w:szCs w:val="18"/>
          <w:u w:val="single"/>
        </w:rPr>
      </w:pPr>
      <w:r>
        <w:rPr>
          <w:b/>
          <w:bCs/>
          <w:szCs w:val="18"/>
          <w:u w:val="single"/>
        </w:rPr>
        <w:br w:type="page"/>
      </w:r>
    </w:p>
    <w:p w14:paraId="36B4FC1F" w14:textId="77777777" w:rsidR="00EF6204" w:rsidRPr="00D67374" w:rsidRDefault="00EF6204" w:rsidP="00EF6204">
      <w:pPr>
        <w:pStyle w:val="AxureHeadingBasic"/>
        <w:keepNext/>
        <w:numPr>
          <w:ilvl w:val="0"/>
          <w:numId w:val="15"/>
        </w:numPr>
        <w:spacing w:before="120"/>
        <w:ind w:left="567" w:hanging="567"/>
        <w:rPr>
          <w:sz w:val="28"/>
          <w:szCs w:val="28"/>
          <w:u w:val="none"/>
        </w:rPr>
      </w:pPr>
      <w:bookmarkStart w:id="0" w:name="_Ref189816322"/>
      <w:r w:rsidRPr="00D67374">
        <w:rPr>
          <w:sz w:val="28"/>
          <w:szCs w:val="28"/>
          <w:u w:val="none"/>
        </w:rPr>
        <w:lastRenderedPageBreak/>
        <w:t>Descrição</w:t>
      </w:r>
      <w:bookmarkEnd w:id="0"/>
    </w:p>
    <w:p>
      <w:pPr>
        <w:spacing w:before="0" w:after="160" w:line="259" w:lineRule="auto"/>
        <w:rPr>
          <w:color w:val="404040" w:themeColor="text1" w:themeTint="BF"/>
          <w:sz w:val="20"/>
          <w:szCs w:val="20"/>
        </w:rPr>
      </w:pPr>
      <w:r>
        <w:rPr>
          <w:color w:val="404040" w:themeColor="text1" w:themeTint="BF"/>
          <w:sz w:val="20"/>
          <w:szCs w:val="20"/>
        </w:rPr>
        <w:t>O módulo Configurar Critérios de Desempate permite ao Administrador Nacional definir, por tipo de participante da premiação, a lista ordenada de questões do questionário de avaliação que o sistema aplica automaticamente para quebrar empates de média ponderada no ranking de fechamento de cada etapa. A configuração segue o modelo lexicográfico: o primeiro critério decide; persistindo o empate, o próximo é aplicado, e assim por diante. É feita dentro da edição da premiação (aba ‘Avaliação &amp; Etapas’) e permanece editável durante toda a vida da premiação, exceto durante a janela de fechamento ativa de uma etapa (etapa com prazo encerrado e ainda em situação Aberta), em que o sistema bloqueia alterações para preservar a integridade do ranking. Quando os critérios automáticos se esgotam e o empate persiste, a resolução passa a ser manual, executada pelo Administrador Nacional na tela de Fechamento de Etapa — essa operação (drawer de comparação de respostas e notas, escolha da inscrição classificada e justificativa obrigatória) está documentada na HU ‘Fechar Etapa de Avaliação’.</w:t>
      </w:r>
    </w:p>
    <w:p w14:paraId="56D4DBBE" w14:textId="77777777" w:rsidR="00EF6204" w:rsidRPr="00D67374" w:rsidRDefault="00EF6204" w:rsidP="00EF6204">
      <w:pPr>
        <w:pStyle w:val="AxureHeadingBasic"/>
        <w:keepNext/>
        <w:numPr>
          <w:ilvl w:val="0"/>
          <w:numId w:val="15"/>
        </w:numPr>
        <w:spacing w:before="120"/>
        <w:ind w:left="567" w:hanging="567"/>
        <w:rPr>
          <w:sz w:val="28"/>
          <w:szCs w:val="28"/>
          <w:u w:val="none"/>
        </w:rPr>
      </w:pPr>
      <w:r w:rsidRPr="00D67374">
        <w:rPr>
          <w:sz w:val="28"/>
          <w:szCs w:val="28"/>
          <w:u w:val="none"/>
        </w:rPr>
        <w:t>Funcionalidades</w:t>
      </w:r>
    </w:p>
    <w:p>
      <w:pPr>
        <w:pStyle w:val="AxureHeadingBasic"/>
        <w:keepNext/>
        <w:numPr>
          <w:ilvl w:val="1"/>
          <w:numId w:val="15"/>
        </w:numPr>
        <w:spacing w:before="120"/>
        <w:ind w:left="567" w:hanging="567"/>
        <w:rPr>
          <w:sz w:val="20"/>
          <w:szCs w:val="20"/>
          <w:u w:val="none"/>
        </w:rPr>
      </w:pPr>
      <w:r>
        <w:rPr>
          <w:sz w:val="20"/>
          <w:szCs w:val="20"/>
          <w:u w:val="none"/>
        </w:rPr>
        <w:t>Configurar Critérios Automáticos de Desempate</w:t>
      </w:r>
    </w:p>
    <w:p>
      <w:pPr>
        <w:spacing w:before="0" w:after="160" w:line="259" w:lineRule="auto"/>
        <w:rPr>
          <w:color w:val="404040" w:themeColor="text1" w:themeTint="BF"/>
          <w:sz w:val="20"/>
          <w:szCs w:val="20"/>
        </w:rPr>
      </w:pPr>
      <w:r>
        <w:rPr>
          <w:color w:val="404040" w:themeColor="text1" w:themeTint="BF"/>
          <w:sz w:val="20"/>
          <w:szCs w:val="20"/>
        </w:rPr>
        <w:t>Permite ao Administrador Nacional definir, por tipo de participante da premiação, a lista ordenada de questões do questionário de avaliação que serão aplicadas sequencialmente para resolver empates de média no ranking. A tela apresenta um cartão por tipo de participante vinculado à premiação (resolvido a partir das categorias e modalidades). Em cada cartão, a coluna esquerda exibe todas as questões disponíveis do questionário do tipo, com checkbox de seleção; a coluna direita exibe a lista ordenada das questões selecionadas como critérios de desempate, na ordem de aplicação (modelo lexicográfico: o 1º critério decide; persistindo, o 2º; e assim por diante). O usuário pode marcar/desmarcar questões via checkbox, arrastar e soltar (drag-and-drop) os itens da lista de selecionadas para reordenar, e remover individualmente um critério clicando no ícone de exclusão da linha. Ao salvar, o sistema substitui integralmente a configuração existente da premiação: critérios anteriores que não estão na nova lista são desativados (soft-delete) e a nova lista passa a vigorar. O componente é renderizado dentro da aba ‘Avaliação &amp; Etapas’ do formulário de Premiação, abaixo da listagem de etapas, separado por divisor visual.</w:t>
      </w:r>
    </w:p>
    <w:p>
      <w:pPr>
        <w:pStyle w:val="ListParagraph"/>
        <w:spacing w:before="0" w:after="160" w:line="259" w:lineRule="auto"/>
        <w:rPr>
          <w:color w:val="404040" w:themeColor="text1" w:themeTint="BF"/>
          <w:sz w:val="20"/>
          <w:szCs w:val="20"/>
        </w:rPr>
        <w:numPr>
          <w:ilvl w:val="0"/>
          <w:numId w:val="2"/>
        </w:numPr>
      </w:pPr>
      <w:r>
        <w:rPr>
          <w:color w:val="404040" w:themeColor="text1" w:themeTint="BF"/>
          <w:sz w:val="20"/>
          <w:szCs w:val="20"/>
        </w:rPr>
        <w:t>Selecionar Critérios: marcar checkboxes nas questões disponíveis do tipo de participante para indicar que servirão como critério de desempate.</w:t>
      </w:r>
    </w:p>
    <w:p>
      <w:pPr>
        <w:pStyle w:val="ListParagraph"/>
        <w:spacing w:before="0" w:after="160" w:line="259" w:lineRule="auto"/>
        <w:rPr>
          <w:color w:val="404040" w:themeColor="text1" w:themeTint="BF"/>
          <w:sz w:val="20"/>
          <w:szCs w:val="20"/>
        </w:rPr>
        <w:numPr>
          <w:ilvl w:val="0"/>
          <w:numId w:val="2"/>
        </w:numPr>
      </w:pPr>
      <w:r>
        <w:rPr>
          <w:color w:val="404040" w:themeColor="text1" w:themeTint="BF"/>
          <w:sz w:val="20"/>
          <w:szCs w:val="20"/>
        </w:rPr>
        <w:t>Reordenar Critérios: arrastar e soltar os critérios selecionados para definir a ordem lexicográfica de aplicação (1º, 2º, 3º...).</w:t>
      </w:r>
    </w:p>
    <w:p>
      <w:pPr>
        <w:pStyle w:val="ListParagraph"/>
        <w:spacing w:before="0" w:after="160" w:line="259" w:lineRule="auto"/>
        <w:rPr>
          <w:color w:val="404040" w:themeColor="text1" w:themeTint="BF"/>
          <w:sz w:val="20"/>
          <w:szCs w:val="20"/>
        </w:rPr>
        <w:numPr>
          <w:ilvl w:val="0"/>
          <w:numId w:val="2"/>
        </w:numPr>
      </w:pPr>
      <w:r>
        <w:rPr>
          <w:color w:val="404040" w:themeColor="text1" w:themeTint="BF"/>
          <w:sz w:val="20"/>
          <w:szCs w:val="20"/>
        </w:rPr>
        <w:t>Remover Critério: clicar no ícone de exclusão da linha do critério selecionado para retirá-lo da lista ordenada (equivalente a desmarcar o checkbox).</w:t>
      </w:r>
    </w:p>
    <w:p>
      <w:pPr>
        <w:pStyle w:val="ListParagraph"/>
        <w:spacing w:before="0" w:after="160" w:line="259" w:lineRule="auto"/>
        <w:rPr>
          <w:color w:val="404040" w:themeColor="text1" w:themeTint="BF"/>
          <w:sz w:val="20"/>
          <w:szCs w:val="20"/>
        </w:rPr>
        <w:numPr>
          <w:ilvl w:val="0"/>
          <w:numId w:val="2"/>
        </w:numPr>
      </w:pPr>
      <w:r>
        <w:rPr>
          <w:color w:val="404040" w:themeColor="text1" w:themeTint="BF"/>
          <w:sz w:val="20"/>
          <w:szCs w:val="20"/>
        </w:rPr>
        <w:t>Salvar Critérios: persistir a lista de critérios da premiação. O sistema substitui integralmente a configuração anterior — critérios não enviados são desativados.</w:t>
      </w:r>
    </w:p>
    <w:p>
      <w:pPr>
        <w:pStyle w:val="ListParagraph"/>
        <w:spacing w:before="0" w:after="160" w:line="259" w:lineRule="auto"/>
        <w:rPr>
          <w:color w:val="404040" w:themeColor="text1" w:themeTint="BF"/>
          <w:sz w:val="20"/>
          <w:szCs w:val="20"/>
        </w:rPr>
        <w:numPr>
          <w:ilvl w:val="0"/>
          <w:numId w:val="2"/>
        </w:numPr>
      </w:pPr>
      <w:r>
        <w:rPr>
          <w:color w:val="404040" w:themeColor="text1" w:themeTint="BF"/>
          <w:sz w:val="20"/>
          <w:szCs w:val="20"/>
        </w:rPr>
        <w:t>Visualizar Status de Edição: a tela exibe banner de bloqueio quando a edição está travada (etapa em janela de fechamento), informando o motivo do bloqueio e desabilitando todos os controles de edição.</w:t>
      </w:r>
    </w:p>
    <w:p>
      <w:pPr>
        <w:pStyle w:val="AxureHeadingBasic"/>
        <w:keepNext/>
        <w:numPr>
          <w:ilvl w:val="1"/>
          <w:numId w:val="15"/>
        </w:numPr>
        <w:spacing w:before="120"/>
        <w:ind w:left="567" w:hanging="567"/>
        <w:rPr>
          <w:sz w:val="20"/>
          <w:szCs w:val="20"/>
          <w:u w:val="none"/>
        </w:rPr>
      </w:pPr>
      <w:r>
        <w:rPr>
          <w:sz w:val="20"/>
          <w:szCs w:val="20"/>
          <w:u w:val="none"/>
        </w:rPr>
        <w:t>Bloqueio Automático de Edição em Janela de Fechamento</w:t>
      </w:r>
    </w:p>
    <w:p>
      <w:pPr>
        <w:spacing w:before="0" w:after="160" w:line="259" w:lineRule="auto"/>
        <w:rPr>
          <w:color w:val="404040" w:themeColor="text1" w:themeTint="BF"/>
          <w:sz w:val="20"/>
          <w:szCs w:val="20"/>
        </w:rPr>
      </w:pPr>
      <w:r>
        <w:rPr>
          <w:color w:val="404040" w:themeColor="text1" w:themeTint="BF"/>
          <w:sz w:val="20"/>
          <w:szCs w:val="20"/>
        </w:rPr>
        <w:t>Mecanismo de proteção que impede alterações na configuração de critérios de desempate enquanto há ao menos uma etapa da premiação cujo prazo final já se encerrou (data fim igual ou anterior ao dia atual) e cuja situação ainda é Aberta — caracterizando a janela de fechamento em curso. O componente de configuração consulta o status de bloqueio antes de habilitar a edição: quando bloqueado, exibe um banner de aviso com o motivo, desabilita todos os checkboxes, o drag-and-drop, os botões de remoção e o botão de salvar. Etapas já Fechadas não bloqueiam — a configuração pode evoluir entre etapas. O bloqueio existe para evitar que a configuração seja manipulada durante o cálculo do ranking de uma etapa em fechamento.</w:t>
      </w:r>
    </w:p>
    <w:p>
      <w:pPr>
        <w:pStyle w:val="ListParagraph"/>
        <w:spacing w:before="0" w:after="160" w:line="259" w:lineRule="auto"/>
        <w:rPr>
          <w:color w:val="404040" w:themeColor="text1" w:themeTint="BF"/>
          <w:sz w:val="20"/>
          <w:szCs w:val="20"/>
        </w:rPr>
        <w:numPr>
          <w:ilvl w:val="0"/>
          <w:numId w:val="2"/>
        </w:numPr>
      </w:pPr>
      <w:r>
        <w:rPr>
          <w:color w:val="404040" w:themeColor="text1" w:themeTint="BF"/>
          <w:sz w:val="20"/>
          <w:szCs w:val="20"/>
        </w:rPr>
        <w:t>Consultar Status de Bloqueio: o sistema consulta o lock-status automaticamente ao carregar a tela e ao reabrir após salvar.</w:t>
      </w:r>
    </w:p>
    <w:p>
      <w:pPr>
        <w:pStyle w:val="ListParagraph"/>
        <w:spacing w:before="0" w:after="160" w:line="259" w:lineRule="auto"/>
        <w:rPr>
          <w:color w:val="404040" w:themeColor="text1" w:themeTint="BF"/>
          <w:sz w:val="20"/>
          <w:szCs w:val="20"/>
        </w:rPr>
        <w:numPr>
          <w:ilvl w:val="0"/>
          <w:numId w:val="2"/>
        </w:numPr>
      </w:pPr>
      <w:r>
        <w:rPr>
          <w:color w:val="404040" w:themeColor="text1" w:themeTint="BF"/>
          <w:sz w:val="20"/>
          <w:szCs w:val="20"/>
        </w:rPr>
        <w:t>Visualizar Motivo do Bloqueio: o usuário vê uma mensagem informando que existe etapa com prazo encerrado em fase de fechamento.</w:t>
      </w:r>
    </w:p>
    <w:p>
      <w:pPr>
        <w:pStyle w:val="ListParagraph"/>
        <w:spacing w:before="0" w:after="160" w:line="259" w:lineRule="auto"/>
        <w:rPr>
          <w:color w:val="404040" w:themeColor="text1" w:themeTint="BF"/>
          <w:sz w:val="20"/>
          <w:szCs w:val="20"/>
        </w:rPr>
        <w:numPr>
          <w:ilvl w:val="0"/>
          <w:numId w:val="2"/>
        </w:numPr>
      </w:pPr>
      <w:r>
        <w:rPr>
          <w:color w:val="404040" w:themeColor="text1" w:themeTint="BF"/>
          <w:sz w:val="20"/>
          <w:szCs w:val="20"/>
        </w:rPr>
        <w:t>Aguardar Liberação: a edição volta a ser permitida quando todas as etapas em janela de fechamento forem efetivamente fechadas pelo administrador.</w:t>
      </w:r>
    </w:p>
    <w:p w14:paraId="1390CAB1" w14:textId="6D958CAC" w:rsidR="00EF6204" w:rsidRPr="00D67374" w:rsidRDefault="00982746" w:rsidP="00EF6204">
      <w:pPr>
        <w:pStyle w:val="AxureHeadingBasic"/>
        <w:keepNext/>
        <w:numPr>
          <w:ilvl w:val="0"/>
          <w:numId w:val="15"/>
        </w:numPr>
        <w:spacing w:before="120"/>
        <w:ind w:left="567" w:hanging="567"/>
        <w:rPr>
          <w:sz w:val="28"/>
          <w:szCs w:val="28"/>
          <w:u w:val="none"/>
        </w:rPr>
      </w:pPr>
      <w:r>
        <w:rPr>
          <w:sz w:val="28"/>
          <w:szCs w:val="28"/>
          <w:u w:val="none"/>
        </w:rPr>
        <w:lastRenderedPageBreak/>
        <w:t>Telas</w:t>
      </w:r>
      <w:r w:rsidR="00A322AB" w:rsidRPr="00D67374">
        <w:rPr>
          <w:sz w:val="28"/>
          <w:szCs w:val="28"/>
          <w:u w:val="none"/>
        </w:rPr>
        <w:t xml:space="preserve"> da Solução</w:t>
      </w:r>
    </w:p>
    <w:p>
      <w:pPr>
        <w:jc w:val="center"/>
      </w:pPr>
      <w:r>
        <w:drawing>
          <wp:inline xmlns:a="http://schemas.openxmlformats.org/drawingml/2006/main" xmlns:pic="http://schemas.openxmlformats.org/drawingml/2006/picture">
            <wp:extent cx="5760720" cy="3800475"/>
            <wp:docPr id="3" name="Picture 3"/>
            <wp:cNvGraphicFramePr>
              <a:graphicFrameLocks noChangeAspect="1"/>
            </wp:cNvGraphicFramePr>
            <a:graphic>
              <a:graphicData uri="http://schemas.openxmlformats.org/drawingml/2006/picture">
                <pic:pic>
                  <pic:nvPicPr>
                    <pic:cNvPr id="0" name="criterio-desempate-config.png"/>
                    <pic:cNvPicPr/>
                  </pic:nvPicPr>
                  <pic:blipFill>
                    <a:blip r:embed="rId12"/>
                    <a:stretch>
                      <a:fillRect/>
                    </a:stretch>
                  </pic:blipFill>
                  <pic:spPr>
                    <a:xfrm>
                      <a:off x="0" y="0"/>
                      <a:ext cx="5760720" cy="3800475"/>
                    </a:xfrm>
                    <a:prstGeom prst="rect"/>
                  </pic:spPr>
                </pic:pic>
              </a:graphicData>
            </a:graphic>
          </wp:inline>
        </w:drawing>
      </w:r>
    </w:p>
    <w:p>
      <w:pPr>
        <w:spacing w:before="0" w:after="160" w:line="259" w:lineRule="auto"/>
        <w:rPr>
          <w:color w:val="404040" w:themeColor="text1" w:themeTint="BF"/>
          <w:sz w:val="20"/>
          <w:szCs w:val="20"/>
        </w:rPr>
      </w:pPr>
    </w:p>
    <w:tbl>
      <w:tblPr>
        <w:tblStyle w:val="TableGrid"/>
        <w:tblW w:type="auto" w:w="0"/>
        <w:tblLayout w:type="fixed"/>
        <w:tblLook w:firstColumn="1" w:firstRow="1" w:lastColumn="0" w:lastRow="0" w:noHBand="0" w:noVBand="1" w:val="04A0"/>
      </w:tblPr>
      <w:tblGrid>
        <w:gridCol w:w="1980"/>
        <w:gridCol w:w="1564"/>
        <w:gridCol w:w="1707"/>
        <w:gridCol w:w="992"/>
        <w:gridCol w:w="709"/>
        <w:gridCol w:w="2687"/>
      </w:tblGrid>
      <w:tr>
        <w:tc>
          <w:tcPr>
            <w:tcW w:type="dxa" w:w="9639"/>
            <w:gridSpan w:val="6"/>
            <w:shd w:val="clear" w:color="auto" w:fill="BFBFBF"/>
          </w:tcPr>
          <w:p>
            <w:r>
              <w:rPr>
                <w:b/>
              </w:rPr>
              <w:t>Configuração de Critérios de Desempate (aba Avaliação &amp; Etapas da Premiação)</w:t>
            </w:r>
          </w:p>
        </w:tc>
      </w:tr>
      <w:tr>
        <w:tc>
          <w:tcPr>
            <w:tcW w:type="dxa" w:w="9639"/>
            <w:gridSpan w:val="6"/>
          </w:tcPr>
          <w:p>
            <w:pPr>
              <w:pStyle w:val="AxureHeading2"/>
            </w:pPr>
            <w:r>
              <w:t>Descrição dos Campos e Comandos</w:t>
            </w:r>
          </w:p>
        </w:tc>
      </w:tr>
      <w:tr>
        <w:tc>
          <w:tcPr>
            <w:tcW w:type="dxa" w:w="1980"/>
            <w:shd w:val="clear" w:color="auto" w:fill="BFBFBF"/>
          </w:tcPr>
          <w:p>
            <w:r>
              <w:rPr>
                <w:b/>
              </w:rPr>
              <w:t>Nome</w:t>
            </w:r>
          </w:p>
        </w:tc>
        <w:tc>
          <w:tcPr>
            <w:tcW w:type="dxa" w:w="1564"/>
            <w:shd w:val="clear" w:color="auto" w:fill="BFBFBF"/>
          </w:tcPr>
          <w:p>
            <w:r>
              <w:rPr>
                <w:b/>
              </w:rPr>
              <w:t>Tipo</w:t>
            </w:r>
          </w:p>
        </w:tc>
        <w:tc>
          <w:tcPr>
            <w:tcW w:type="dxa" w:w="1707"/>
            <w:shd w:val="clear" w:color="auto" w:fill="BFBFBF"/>
          </w:tcPr>
          <w:p>
            <w:r>
              <w:rPr>
                <w:b/>
              </w:rPr>
              <w:t>Valores Válidos</w:t>
            </w:r>
          </w:p>
        </w:tc>
        <w:tc>
          <w:tcPr>
            <w:tcW w:type="dxa" w:w="992"/>
            <w:shd w:val="clear" w:color="auto" w:fill="BFBFBF"/>
          </w:tcPr>
          <w:p>
            <w:r>
              <w:rPr>
                <w:b/>
              </w:rPr>
              <w:t>Tamanho</w:t>
            </w:r>
          </w:p>
        </w:tc>
        <w:tc>
          <w:tcPr>
            <w:tcW w:type="dxa" w:w="709"/>
            <w:shd w:val="clear" w:color="auto" w:fill="BFBFBF"/>
          </w:tcPr>
          <w:p>
            <w:r>
              <w:rPr>
                <w:b/>
              </w:rPr>
              <w:t>Obrig.</w:t>
            </w:r>
          </w:p>
        </w:tc>
        <w:tc>
          <w:tcPr>
            <w:tcW w:type="dxa" w:w="2687"/>
            <w:shd w:val="clear" w:color="auto" w:fill="BFBFBF"/>
          </w:tcPr>
          <w:p>
            <w:r>
              <w:rPr>
                <w:b/>
              </w:rPr>
              <w:t>Observações / Restrição / Regra</w:t>
            </w:r>
          </w:p>
        </w:tc>
      </w:tr>
      <w:tr>
        <w:tc>
          <w:tcPr>
            <w:tcW w:type="dxa" w:w="1980"/>
          </w:tcPr>
          <w:p>
            <w:r>
              <w:t>Cabeçalho do Componente</w:t>
            </w:r>
          </w:p>
        </w:tc>
        <w:tc>
          <w:tcPr>
            <w:tcW w:type="dxa" w:w="1564"/>
          </w:tcPr>
          <w:p>
            <w:r>
              <w:t>Texto</w:t>
            </w:r>
          </w:p>
        </w:tc>
        <w:tc>
          <w:tcPr>
            <w:tcW w:type="dxa" w:w="1707"/>
          </w:tcPr>
          <w:p>
            <w:r/>
          </w:p>
        </w:tc>
        <w:tc>
          <w:tcPr>
            <w:tcW w:type="dxa" w:w="992"/>
          </w:tcPr>
          <w:p>
            <w:r/>
          </w:p>
        </w:tc>
        <w:tc>
          <w:tcPr>
            <w:tcW w:type="dxa" w:w="709"/>
          </w:tcPr>
          <w:p>
            <w:r/>
          </w:p>
        </w:tc>
        <w:tc>
          <w:tcPr>
            <w:tcW w:type="dxa" w:w="2687"/>
          </w:tcPr>
          <w:p>
            <w:r>
              <w:t>Título ‘Critérios de Desempate’ e texto auxiliar explicando o modelo lexicográfico (o primeiro critério decide; persistindo, o próximo).</w:t>
            </w:r>
          </w:p>
        </w:tc>
      </w:tr>
      <w:tr>
        <w:tc>
          <w:tcPr>
            <w:tcW w:type="dxa" w:w="1980"/>
          </w:tcPr>
          <w:p>
            <w:r>
              <w:t>Banner de Bloqueio (Lock)</w:t>
            </w:r>
          </w:p>
        </w:tc>
        <w:tc>
          <w:tcPr>
            <w:tcW w:type="dxa" w:w="1564"/>
          </w:tcPr>
          <w:p>
            <w:r>
              <w:t>Mensagem</w:t>
            </w:r>
          </w:p>
        </w:tc>
        <w:tc>
          <w:tcPr>
            <w:tcW w:type="dxa" w:w="1707"/>
          </w:tcPr>
          <w:p>
            <w:r/>
          </w:p>
        </w:tc>
        <w:tc>
          <w:tcPr>
            <w:tcW w:type="dxa" w:w="992"/>
          </w:tcPr>
          <w:p>
            <w:r/>
          </w:p>
        </w:tc>
        <w:tc>
          <w:tcPr>
            <w:tcW w:type="dxa" w:w="709"/>
          </w:tcPr>
          <w:p>
            <w:r/>
          </w:p>
        </w:tc>
        <w:tc>
          <w:tcPr>
            <w:tcW w:type="dxa" w:w="2687"/>
          </w:tcPr>
          <w:p>
            <w:r>
              <w:t>Visível somente quando lockStatus.editavel = false. Exibe ícone de cadeado e o motivo retornado pelo backend (ex.: ‘Não é possível alterar critérios de desempate: existe etapa com prazo encerrado em fase de fechamento.’).</w:t>
            </w:r>
          </w:p>
        </w:tc>
      </w:tr>
      <w:tr>
        <w:tc>
          <w:tcPr>
            <w:tcW w:type="dxa" w:w="1980"/>
          </w:tcPr>
          <w:p>
            <w:r>
              <w:t>Indicador Total de Critérios</w:t>
            </w:r>
          </w:p>
        </w:tc>
        <w:tc>
          <w:tcPr>
            <w:tcW w:type="dxa" w:w="1564"/>
          </w:tcPr>
          <w:p>
            <w:r>
              <w:t>Tag</w:t>
            </w:r>
          </w:p>
        </w:tc>
        <w:tc>
          <w:tcPr>
            <w:tcW w:type="dxa" w:w="1707"/>
          </w:tcPr>
          <w:p>
            <w:r/>
          </w:p>
        </w:tc>
        <w:tc>
          <w:tcPr>
            <w:tcW w:type="dxa" w:w="992"/>
          </w:tcPr>
          <w:p>
            <w:r/>
          </w:p>
        </w:tc>
        <w:tc>
          <w:tcPr>
            <w:tcW w:type="dxa" w:w="709"/>
          </w:tcPr>
          <w:p>
            <w:r/>
          </w:p>
        </w:tc>
        <w:tc>
          <w:tcPr>
            <w:tcW w:type="dxa" w:w="2687"/>
          </w:tcPr>
          <w:p>
            <w:r>
              <w:t>Tag colorida exibindo ‘N critério(s) configurado(s)’. Cor de aviso quando total = 0; cor de sucesso quando total &gt; 0. Quando zero, ainda exibe aviso textual: ‘Empates serão resolvidos manualmente pelo Administrador Nacional’.</w:t>
            </w:r>
          </w:p>
        </w:tc>
      </w:tr>
      <w:tr>
        <w:tc>
          <w:tcPr>
            <w:tcW w:type="dxa" w:w="1980"/>
          </w:tcPr>
          <w:p>
            <w:r>
              <w:t>Cartão por Tipo de Participante</w:t>
            </w:r>
          </w:p>
        </w:tc>
        <w:tc>
          <w:tcPr>
            <w:tcW w:type="dxa" w:w="1564"/>
          </w:tcPr>
          <w:p>
            <w:r>
              <w:t>Container</w:t>
            </w:r>
          </w:p>
        </w:tc>
        <w:tc>
          <w:tcPr>
            <w:tcW w:type="dxa" w:w="1707"/>
          </w:tcPr>
          <w:p>
            <w:r/>
          </w:p>
        </w:tc>
        <w:tc>
          <w:tcPr>
            <w:tcW w:type="dxa" w:w="992"/>
          </w:tcPr>
          <w:p>
            <w:r/>
          </w:p>
        </w:tc>
        <w:tc>
          <w:tcPr>
            <w:tcW w:type="dxa" w:w="709"/>
          </w:tcPr>
          <w:p>
            <w:r/>
          </w:p>
        </w:tc>
        <w:tc>
          <w:tcPr>
            <w:tcW w:type="dxa" w:w="2687"/>
          </w:tcPr>
          <w:p>
            <w:r>
              <w:t>Um cartão é renderizado para cada Tipo de Participante único da premiação (resolvido a partir da árvore Categoria→Modalidade→TipoParticipante). Cabeçalho do cartão exibe rótulo ‘Tipo de Participante’, nome do tipo e tag ‘N selecionada(s)’.</w:t>
            </w:r>
          </w:p>
        </w:tc>
      </w:tr>
      <w:tr>
        <w:tc>
          <w:tcPr>
            <w:tcW w:type="dxa" w:w="1980"/>
          </w:tcPr>
          <w:p>
            <w:r>
              <w:t>Coluna ‘Questões disponíveis’</w:t>
            </w:r>
          </w:p>
        </w:tc>
        <w:tc>
          <w:tcPr>
            <w:tcW w:type="dxa" w:w="1564"/>
          </w:tcPr>
          <w:p>
            <w:r>
              <w:t>Lista de Checkboxes</w:t>
            </w:r>
          </w:p>
        </w:tc>
        <w:tc>
          <w:tcPr>
            <w:tcW w:type="dxa" w:w="1707"/>
          </w:tcPr>
          <w:p>
            <w:r/>
          </w:p>
        </w:tc>
        <w:tc>
          <w:tcPr>
            <w:tcW w:type="dxa" w:w="992"/>
          </w:tcPr>
          <w:p>
            <w:r/>
          </w:p>
        </w:tc>
        <w:tc>
          <w:tcPr>
            <w:tcW w:type="dxa" w:w="709"/>
          </w:tcPr>
          <w:p>
            <w:r>
              <w:t>Não</w:t>
            </w:r>
          </w:p>
        </w:tc>
        <w:tc>
          <w:tcPr>
            <w:tcW w:type="dxa" w:w="2687"/>
          </w:tcPr>
          <w:p>
            <w:r>
              <w:t>Lista todas as questões do questionário do tipo de participante, ordenadas por campo ordem. Cada item exibe checkbox, título e enunciado da questão, código do tipo de questão e peso da nota. Marcar/desmarcar move o item de/para a coluna de ordem. Desabilitada quando lock = true ou quando o tipo não tem questionário cadastrado (mostra estado vazio).</w:t>
            </w:r>
          </w:p>
        </w:tc>
      </w:tr>
      <w:tr>
        <w:tc>
          <w:tcPr>
            <w:tcW w:type="dxa" w:w="1980"/>
          </w:tcPr>
          <w:p>
            <w:r>
              <w:t>Coluna ‘Ordem de aplicação’</w:t>
            </w:r>
          </w:p>
        </w:tc>
        <w:tc>
          <w:tcPr>
            <w:tcW w:type="dxa" w:w="1564"/>
          </w:tcPr>
          <w:p>
            <w:r>
              <w:t>Lista Ordenada (Drag and Drop)</w:t>
            </w:r>
          </w:p>
        </w:tc>
        <w:tc>
          <w:tcPr>
            <w:tcW w:type="dxa" w:w="1707"/>
          </w:tcPr>
          <w:p>
            <w:r/>
          </w:p>
        </w:tc>
        <w:tc>
          <w:tcPr>
            <w:tcW w:type="dxa" w:w="992"/>
          </w:tcPr>
          <w:p>
            <w:r/>
          </w:p>
        </w:tc>
        <w:tc>
          <w:tcPr>
            <w:tcW w:type="dxa" w:w="709"/>
          </w:tcPr>
          <w:p>
            <w:r>
              <w:t>Não</w:t>
            </w:r>
          </w:p>
        </w:tc>
        <w:tc>
          <w:tcPr>
            <w:tcW w:type="dxa" w:w="2687"/>
          </w:tcPr>
          <w:p>
            <w:r>
              <w:t>Lista ordenada das questões selecionadas como critério, com badge de posição (1º, 2º, 3º...), título da questão e botão de remoção. Suporta arraste-e-solte (CDK DragDrop) para reordenação. Hint ‘arraste para reordenar’ no cabeçalho. Estado vazio: ‘Nenhuma questão selecionada como critério de desempate ainda.’</w:t>
            </w:r>
          </w:p>
        </w:tc>
      </w:tr>
      <w:tr>
        <w:tc>
          <w:tcPr>
            <w:tcW w:type="dxa" w:w="1980"/>
          </w:tcPr>
          <w:p>
            <w:r>
              <w:t>Estado vazio (sem tipos de participante)</w:t>
            </w:r>
          </w:p>
        </w:tc>
        <w:tc>
          <w:tcPr>
            <w:tcW w:type="dxa" w:w="1564"/>
          </w:tcPr>
          <w:p>
            <w:r>
              <w:t>Mensagem</w:t>
            </w:r>
          </w:p>
        </w:tc>
        <w:tc>
          <w:tcPr>
            <w:tcW w:type="dxa" w:w="1707"/>
          </w:tcPr>
          <w:p>
            <w:r/>
          </w:p>
        </w:tc>
        <w:tc>
          <w:tcPr>
            <w:tcW w:type="dxa" w:w="992"/>
          </w:tcPr>
          <w:p>
            <w:r/>
          </w:p>
        </w:tc>
        <w:tc>
          <w:tcPr>
            <w:tcW w:type="dxa" w:w="709"/>
          </w:tcPr>
          <w:p>
            <w:r/>
          </w:p>
        </w:tc>
        <w:tc>
          <w:tcPr>
            <w:tcW w:type="dxa" w:w="2687"/>
          </w:tcPr>
          <w:p>
            <w:r>
              <w:t>Quando a premiação ainda não tem tipos de participante vinculados, o componente exibe mensagem informativa: ‘Esta premiação ainda não tem tipos de participante vinculados. Adicione modalidades e tipos de participante antes de configurar critérios de desempate.’</w:t>
            </w:r>
          </w:p>
        </w:tc>
      </w:tr>
      <w:tr>
        <w:tc>
          <w:tcPr>
            <w:tcW w:type="dxa" w:w="1980"/>
          </w:tcPr>
          <w:p>
            <w:r>
              <w:t>Salvar critérios</w:t>
            </w:r>
          </w:p>
        </w:tc>
        <w:tc>
          <w:tcPr>
            <w:tcW w:type="dxa" w:w="1564"/>
          </w:tcPr>
          <w:p>
            <w:r>
              <w:t>Botão</w:t>
            </w:r>
          </w:p>
        </w:tc>
        <w:tc>
          <w:tcPr>
            <w:tcW w:type="dxa" w:w="1707"/>
          </w:tcPr>
          <w:p>
            <w:r/>
          </w:p>
        </w:tc>
        <w:tc>
          <w:tcPr>
            <w:tcW w:type="dxa" w:w="992"/>
          </w:tcPr>
          <w:p>
            <w:r/>
          </w:p>
        </w:tc>
        <w:tc>
          <w:tcPr>
            <w:tcW w:type="dxa" w:w="709"/>
          </w:tcPr>
          <w:p>
            <w:r/>
          </w:p>
        </w:tc>
        <w:tc>
          <w:tcPr>
            <w:tcW w:type="dxa" w:w="2687"/>
          </w:tcPr>
          <w:p>
            <w:r>
              <w:t>Botão primário no rodapé do componente. Persiste a lista completa: critérios atuais ausentes do payload são desativados pelo backend. Mostra spinner durante a operação. Desabilitado quando lock = true.</w:t>
            </w:r>
          </w:p>
        </w:tc>
      </w:tr>
    </w:tbl>
    <w:p w14:paraId="6EB06C9D" w14:textId="484261E8" w:rsidR="00B13E4D" w:rsidRDefault="00B13E4D" w:rsidP="00776D59">
      <w:pPr>
        <w:pStyle w:val="AxureHeadingBasic"/>
        <w:keepNext/>
        <w:numPr>
          <w:ilvl w:val="0"/>
          <w:numId w:val="15"/>
        </w:numPr>
        <w:spacing w:before="120"/>
        <w:rPr>
          <w:sz w:val="28"/>
          <w:szCs w:val="28"/>
          <w:u w:val="none"/>
        </w:rPr>
      </w:pPr>
      <w:r>
        <w:rPr>
          <w:sz w:val="28"/>
          <w:szCs w:val="28"/>
          <w:u w:val="none"/>
        </w:rPr>
        <w:t>Regras de Negócio</w:t>
      </w:r>
    </w:p>
    <w:p>
      <w:pPr>
        <w:pStyle w:val="ListParagraph"/>
        <w:spacing w:before="0" w:after="160" w:line="259" w:lineRule="auto"/>
        <w:rPr>
          <w:color w:val="404040" w:themeColor="text1" w:themeTint="BF"/>
          <w:sz w:val="20"/>
          <w:szCs w:val="20"/>
        </w:rPr>
        <w:numPr>
          <w:ilvl w:val="0"/>
          <w:numId w:val="2"/>
        </w:numPr>
      </w:pPr>
      <w:r>
        <w:rPr>
          <w:color w:val="404040" w:themeColor="text1" w:themeTint="BF"/>
          <w:sz w:val="20"/>
          <w:szCs w:val="20"/>
        </w:rPr>
        <w:t>Os critérios de desempate são configurados por premiação, com lista ordenada distinta por tipo de participante. Cada critério é uma questão de avaliação do questionário do respectivo tipo.</w:t>
      </w:r>
    </w:p>
    <w:p>
      <w:pPr>
        <w:pStyle w:val="ListParagraph"/>
        <w:spacing w:before="0" w:after="160" w:line="259" w:lineRule="auto"/>
        <w:rPr>
          <w:color w:val="404040" w:themeColor="text1" w:themeTint="BF"/>
          <w:sz w:val="20"/>
          <w:szCs w:val="20"/>
        </w:rPr>
        <w:numPr>
          <w:ilvl w:val="0"/>
          <w:numId w:val="2"/>
        </w:numPr>
      </w:pPr>
      <w:r>
        <w:rPr>
          <w:color w:val="404040" w:themeColor="text1" w:themeTint="BF"/>
          <w:sz w:val="20"/>
          <w:szCs w:val="20"/>
        </w:rPr>
        <w:t>A ordem dos critérios determina a aplicação lexicográfica: o sistema aplica o 1º critério; se persistir empate, aplica o 2º; e assim por diante. O empate só é considerado persistente após esgotar todos os critérios configurados.</w:t>
      </w:r>
    </w:p>
    <w:p>
      <w:pPr>
        <w:pStyle w:val="ListParagraph"/>
        <w:spacing w:before="0" w:after="160" w:line="259" w:lineRule="auto"/>
        <w:rPr>
          <w:color w:val="404040" w:themeColor="text1" w:themeTint="BF"/>
          <w:sz w:val="20"/>
          <w:szCs w:val="20"/>
        </w:rPr>
        <w:numPr>
          <w:ilvl w:val="0"/>
          <w:numId w:val="2"/>
        </w:numPr>
      </w:pPr>
      <w:r>
        <w:rPr>
          <w:color w:val="404040" w:themeColor="text1" w:themeTint="BF"/>
          <w:sz w:val="20"/>
          <w:szCs w:val="20"/>
        </w:rPr>
        <w:t>Cada questão pode aparecer no máximo uma vez como critério ativo da mesma premiação (índice único TB_DESEMPATE_CRITERIO_PREMIACAO_QUESTAO).</w:t>
      </w:r>
    </w:p>
    <w:p>
      <w:pPr>
        <w:pStyle w:val="ListParagraph"/>
        <w:spacing w:before="0" w:after="160" w:line="259" w:lineRule="auto"/>
        <w:rPr>
          <w:color w:val="404040" w:themeColor="text1" w:themeTint="BF"/>
          <w:sz w:val="20"/>
          <w:szCs w:val="20"/>
        </w:rPr>
        <w:numPr>
          <w:ilvl w:val="0"/>
          <w:numId w:val="2"/>
        </w:numPr>
      </w:pPr>
      <w:r>
        <w:rPr>
          <w:color w:val="404040" w:themeColor="text1" w:themeTint="BF"/>
          <w:sz w:val="20"/>
          <w:szCs w:val="20"/>
        </w:rPr>
        <w:t>Cada posição (ordem) é única dentro da mesma premiação ativa (índice único TB_DESEMPATE_CRITERIO_PREMIACAO_ORDEM).</w:t>
      </w:r>
    </w:p>
    <w:p>
      <w:pPr>
        <w:pStyle w:val="ListParagraph"/>
        <w:spacing w:before="0" w:after="160" w:line="259" w:lineRule="auto"/>
        <w:rPr>
          <w:color w:val="404040" w:themeColor="text1" w:themeTint="BF"/>
          <w:sz w:val="20"/>
          <w:szCs w:val="20"/>
        </w:rPr>
        <w:numPr>
          <w:ilvl w:val="0"/>
          <w:numId w:val="2"/>
        </w:numPr>
      </w:pPr>
      <w:r>
        <w:rPr>
          <w:color w:val="404040" w:themeColor="text1" w:themeTint="BF"/>
          <w:sz w:val="20"/>
          <w:szCs w:val="20"/>
        </w:rPr>
        <w:t>A operação de salvar substitui integralmente a configuração da premiação: critérios anteriores que não estão na nova lista são desativados (FL_ATIVO = 0), e os novos são inseridos como ativos.</w:t>
      </w:r>
    </w:p>
    <w:p>
      <w:pPr>
        <w:pStyle w:val="ListParagraph"/>
        <w:spacing w:before="0" w:after="160" w:line="259" w:lineRule="auto"/>
        <w:rPr>
          <w:color w:val="404040" w:themeColor="text1" w:themeTint="BF"/>
          <w:sz w:val="20"/>
          <w:szCs w:val="20"/>
        </w:rPr>
        <w:numPr>
          <w:ilvl w:val="0"/>
          <w:numId w:val="2"/>
        </w:numPr>
      </w:pPr>
      <w:r>
        <w:rPr>
          <w:color w:val="404040" w:themeColor="text1" w:themeTint="BF"/>
          <w:sz w:val="20"/>
          <w:szCs w:val="20"/>
        </w:rPr>
        <w:t>A configuração não pode ser editada quando há etapa da premiação com data fim igual ou anterior ao dia atual e situação ainda Aberta — caracterizando a janela de fechamento em curso. Etapas já Fechadas não bloqueiam.</w:t>
      </w:r>
    </w:p>
    <w:p>
      <w:pPr>
        <w:pStyle w:val="ListParagraph"/>
        <w:spacing w:before="0" w:after="160" w:line="259" w:lineRule="auto"/>
        <w:rPr>
          <w:color w:val="404040" w:themeColor="text1" w:themeTint="BF"/>
          <w:sz w:val="20"/>
          <w:szCs w:val="20"/>
        </w:rPr>
        <w:numPr>
          <w:ilvl w:val="0"/>
          <w:numId w:val="2"/>
        </w:numPr>
      </w:pPr>
      <w:r>
        <w:rPr>
          <w:color w:val="404040" w:themeColor="text1" w:themeTint="BF"/>
          <w:sz w:val="20"/>
          <w:szCs w:val="20"/>
        </w:rPr>
        <w:t>Quando a premiação tem zero critérios configurados, todos os empates de média serão obrigatoriamente resolvidos manualmente pelo Administrador Nacional no fechamento da etapa.</w:t>
      </w:r>
    </w:p>
    <w:p>
      <w:pPr>
        <w:pStyle w:val="ListParagraph"/>
        <w:spacing w:before="0" w:after="160" w:line="259" w:lineRule="auto"/>
        <w:rPr>
          <w:color w:val="404040" w:themeColor="text1" w:themeTint="BF"/>
          <w:sz w:val="20"/>
          <w:szCs w:val="20"/>
        </w:rPr>
        <w:numPr>
          <w:ilvl w:val="0"/>
          <w:numId w:val="2"/>
        </w:numPr>
      </w:pPr>
      <w:r>
        <w:rPr>
          <w:color w:val="404040" w:themeColor="text1" w:themeTint="BF"/>
          <w:sz w:val="20"/>
          <w:szCs w:val="20"/>
        </w:rPr>
        <w:t>Inscrições só competem entre si (e portanto só podem empatar) quando compartilham o mesmo Tipo de Participante·Modalidade·Categoria (TPMC) e o mesmo Enquadramento.</w:t>
      </w:r>
    </w:p>
    <w:p>
      <w:pPr>
        <w:pStyle w:val="ListParagraph"/>
        <w:spacing w:before="0" w:after="160" w:line="259" w:lineRule="auto"/>
        <w:rPr>
          <w:color w:val="404040" w:themeColor="text1" w:themeTint="BF"/>
          <w:sz w:val="20"/>
          <w:szCs w:val="20"/>
        </w:rPr>
        <w:numPr>
          <w:ilvl w:val="0"/>
          <w:numId w:val="2"/>
        </w:numPr>
      </w:pPr>
      <w:r>
        <w:rPr>
          <w:color w:val="404040" w:themeColor="text1" w:themeTint="BF"/>
          <w:sz w:val="20"/>
          <w:szCs w:val="20"/>
        </w:rPr>
        <w:t>Quando os critérios automáticos configurados se esgotam e o empate persiste, a resolução é feita manualmente pelo Administrador Nacional na tela de Fechamento de Etapa. O detalhamento dessa operação (drawer de desempate manual) está documentado na HU ‘Fechar Etapa de Avaliação’.</w:t>
      </w:r>
    </w:p>
    <w:p w14:paraId="19AD64DD" w14:textId="77777777" w:rsidR="002E41AD" w:rsidRPr="00B62675" w:rsidRDefault="002E41AD" w:rsidP="002E41AD">
      <w:pPr>
        <w:pStyle w:val="AxureHeadingBasic"/>
        <w:keepNext/>
        <w:numPr>
          <w:ilvl w:val="0"/>
          <w:numId w:val="15"/>
        </w:numPr>
        <w:spacing w:before="120"/>
        <w:rPr>
          <w:sz w:val="28"/>
          <w:szCs w:val="28"/>
          <w:u w:val="none"/>
        </w:rPr>
      </w:pPr>
      <w:r w:rsidRPr="00B62675">
        <w:rPr>
          <w:sz w:val="28"/>
          <w:szCs w:val="28"/>
          <w:u w:val="none"/>
        </w:rPr>
        <w:lastRenderedPageBreak/>
        <w:t>Perfis e Permissões</w:t>
      </w:r>
    </w:p>
    <w:tbl>
      <w:tblPr>
        <w:tblStyle w:val="TableGrid"/>
        <w:tblW w:type="auto" w:w="0"/>
        <w:tblLayout w:type="fixed"/>
        <w:tblLook w:firstColumn="1" w:firstRow="1" w:lastColumn="0" w:lastRow="0" w:noHBand="0" w:noVBand="1" w:val="04A0"/>
      </w:tblPr>
      <w:tblGrid>
        <w:gridCol w:w="3969"/>
        <w:gridCol w:w="2127"/>
        <w:gridCol w:w="3543"/>
      </w:tblGrid>
      <w:tr>
        <w:tc>
          <w:tcPr>
            <w:tcW w:type="dxa" w:w="3969"/>
            <w:shd w:val="clear" w:color="auto" w:fill="BFBFBF"/>
          </w:tcPr>
          <w:p>
            <w:r>
              <w:rPr>
                <w:b/>
              </w:rPr>
              <w:t>Funcionalidade</w:t>
            </w:r>
          </w:p>
        </w:tc>
        <w:tc>
          <w:tcPr>
            <w:tcW w:type="dxa" w:w="2127"/>
            <w:shd w:val="clear" w:color="auto" w:fill="BFBFBF"/>
          </w:tcPr>
          <w:p>
            <w:r>
              <w:rPr>
                <w:b/>
              </w:rPr>
              <w:t>Perfil</w:t>
            </w:r>
          </w:p>
        </w:tc>
        <w:tc>
          <w:tcPr>
            <w:tcW w:type="dxa" w:w="3543"/>
            <w:shd w:val="clear" w:color="auto" w:fill="BFBFBF"/>
          </w:tcPr>
          <w:p>
            <w:r>
              <w:rPr>
                <w:b/>
              </w:rPr>
              <w:t>Observação</w:t>
            </w:r>
          </w:p>
        </w:tc>
      </w:tr>
      <w:tr>
        <w:tc>
          <w:tcPr>
            <w:tcW w:type="dxa" w:w="3969"/>
          </w:tcPr>
          <w:p>
            <w:r>
              <w:t>Configurar Critérios Automáticos de Desempate</w:t>
            </w:r>
          </w:p>
        </w:tc>
        <w:tc>
          <w:tcPr>
            <w:tcW w:type="dxa" w:w="2127"/>
          </w:tcPr>
          <w:p>
            <w:r>
              <w:t>Administrador Nacional (PIT.1)</w:t>
            </w:r>
          </w:p>
        </w:tc>
        <w:tc>
          <w:tcPr>
            <w:tcW w:type="dxa" w:w="3543"/>
          </w:tcPr>
          <w:p>
            <w:r>
              <w:t>Operações de escrita (POST). A leitura também é restrita pelo recurso APIPIT.7 — perfis administrativos (PIT.1 e PIT.3) podem consultar a lista, mas apenas PIT.1 grava.</w:t>
            </w:r>
          </w:p>
        </w:tc>
      </w:tr>
      <w:tr>
        <w:tc>
          <w:tcPr>
            <w:tcW w:type="dxa" w:w="3969"/>
          </w:tcPr>
          <w:p>
            <w:r>
              <w:t>Consultar Critérios Configurados</w:t>
            </w:r>
          </w:p>
        </w:tc>
        <w:tc>
          <w:tcPr>
            <w:tcW w:type="dxa" w:w="2127"/>
          </w:tcPr>
          <w:p>
            <w:r>
              <w:t>Administrador Nacional (PIT.1), Administrador Regional (PIT.3)</w:t>
            </w:r>
          </w:p>
        </w:tc>
        <w:tc>
          <w:tcPr>
            <w:tcW w:type="dxa" w:w="3543"/>
          </w:tcPr>
          <w:p>
            <w:r>
              <w:t>Endpoint de leitura sob /administracao/premiacoes — autorização cobrada via recurso APIPIT.7. PIT.3 não pode editar.</w:t>
            </w:r>
          </w:p>
        </w:tc>
      </w:tr>
    </w:tbl>
    <w:sectPr w:rsidR="00B13E4D" w:rsidSect="00D56ACC">
      <w:headerReference w:type="default" r:id="rId9"/>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39833" w14:textId="77777777" w:rsidR="008A236C" w:rsidRPr="00D67374" w:rsidRDefault="008A236C" w:rsidP="00D56ACC">
      <w:pPr>
        <w:spacing w:before="0" w:after="0"/>
      </w:pPr>
      <w:r w:rsidRPr="00D67374">
        <w:separator/>
      </w:r>
    </w:p>
  </w:endnote>
  <w:endnote w:type="continuationSeparator" w:id="0">
    <w:p w14:paraId="2A94D881" w14:textId="77777777" w:rsidR="008A236C" w:rsidRPr="00D67374" w:rsidRDefault="008A236C" w:rsidP="00D56ACC">
      <w:pPr>
        <w:spacing w:before="0" w:after="0"/>
      </w:pPr>
      <w:r w:rsidRPr="00D6737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BA5D3" w14:textId="77777777" w:rsidR="008A236C" w:rsidRPr="00D67374" w:rsidRDefault="008A236C" w:rsidP="00D56ACC">
      <w:pPr>
        <w:spacing w:before="0" w:after="0"/>
      </w:pPr>
      <w:r w:rsidRPr="00D67374">
        <w:separator/>
      </w:r>
    </w:p>
  </w:footnote>
  <w:footnote w:type="continuationSeparator" w:id="0">
    <w:p w14:paraId="7FE18478" w14:textId="77777777" w:rsidR="008A236C" w:rsidRPr="00D67374" w:rsidRDefault="008A236C" w:rsidP="00D56ACC">
      <w:pPr>
        <w:spacing w:before="0" w:after="0"/>
      </w:pPr>
      <w:r w:rsidRPr="00D6737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7088"/>
      <w:gridCol w:w="1274"/>
    </w:tblGrid>
    <w:tr w:rsidR="00965DCF" w:rsidRPr="00D67374" w14:paraId="65FE513C" w14:textId="77777777" w:rsidTr="00006846">
      <w:tc>
        <w:tcPr>
          <w:tcW w:w="1276" w:type="dxa"/>
        </w:tcPr>
        <w:p w14:paraId="6F947F09" w14:textId="1DA35F76" w:rsidR="00965DCF" w:rsidRPr="00D67374" w:rsidRDefault="00965DCF" w:rsidP="00D56ACC">
          <w:pPr>
            <w:pStyle w:val="NoSpacing"/>
            <w:jc w:val="center"/>
            <w:rPr>
              <w:rFonts w:asciiTheme="majorHAnsi" w:hAnsiTheme="majorHAnsi"/>
              <w:lang w:val="pt-BR"/>
            </w:rPr>
          </w:pPr>
        </w:p>
      </w:tc>
      <w:tc>
        <w:tcPr>
          <w:tcW w:w="7088" w:type="dxa"/>
        </w:tcPr>
        <w:p w14:paraId="2EDA60E6" w14:textId="77777777" w:rsidR="00965DCF" w:rsidRPr="00D67374" w:rsidRDefault="00965DCF" w:rsidP="00D56ACC">
          <w:pPr>
            <w:pStyle w:val="NoSpacing"/>
            <w:rPr>
              <w:rFonts w:asciiTheme="majorHAnsi" w:hAnsiTheme="majorHAnsi"/>
              <w:b/>
              <w:bCs/>
              <w:lang w:val="pt-BR"/>
            </w:rPr>
          </w:pPr>
        </w:p>
        <w:p w14:paraId="0AC42F4D" w14:textId="485D0382" w:rsidR="00965DCF" w:rsidRPr="00D67374" w:rsidRDefault="001D2C74" w:rsidP="009F0670">
          <w:pPr>
            <w:pStyle w:val="NoSpacing"/>
            <w:jc w:val="center"/>
            <w:rPr>
              <w:rFonts w:asciiTheme="majorHAnsi" w:hAnsiTheme="majorHAnsi"/>
              <w:b/>
              <w:bCs/>
              <w:lang w:val="pt-BR"/>
            </w:rPr>
          </w:pPr>
          <w:r>
            <w:rPr>
              <w:rFonts w:asciiTheme="majorHAnsi" w:hAnsiTheme="majorHAnsi"/>
              <w:b/>
              <w:bCs/>
              <w:sz w:val="28"/>
              <w:szCs w:val="28"/>
              <w:lang w:val="pt-BR"/>
            </w:rPr>
            <w:t>Prêmio IEL de Talentos – Configurar Criterios de Desempate</w:t>
          </w:r>
        </w:p>
      </w:tc>
      <w:tc>
        <w:tcPr>
          <w:tcW w:w="1274" w:type="dxa"/>
        </w:tcPr>
        <w:p w14:paraId="235744FD" w14:textId="77777777" w:rsidR="00965DCF" w:rsidRPr="00D67374" w:rsidRDefault="00965DCF" w:rsidP="00D56ACC">
          <w:pPr>
            <w:pStyle w:val="NoSpacing"/>
            <w:jc w:val="center"/>
            <w:rPr>
              <w:rFonts w:asciiTheme="majorHAnsi" w:hAnsiTheme="majorHAnsi"/>
              <w:lang w:val="pt-BR"/>
            </w:rPr>
          </w:pPr>
          <w:r w:rsidRPr="00D67374">
            <w:rPr>
              <w:rFonts w:asciiTheme="majorHAnsi" w:eastAsiaTheme="majorEastAsia" w:hAnsiTheme="majorHAnsi" w:cstheme="majorBidi"/>
              <w:noProof/>
              <w:sz w:val="80"/>
              <w:szCs w:val="80"/>
              <w:lang w:val="pt-BR" w:eastAsia="pt-BR"/>
            </w:rPr>
            <w:drawing>
              <wp:inline distT="0" distB="0" distL="0" distR="0" wp14:anchorId="35BA8A21" wp14:editId="5051E6EF">
                <wp:extent cx="911991" cy="628650"/>
                <wp:effectExtent l="0" t="0" r="2540" b="0"/>
                <wp:docPr id="4" name="Imagem 4"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Logotipo&#10;&#10;Descrição gerada automa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b="15240"/>
                        <a:stretch/>
                      </pic:blipFill>
                      <pic:spPr bwMode="auto">
                        <a:xfrm>
                          <a:off x="0" y="0"/>
                          <a:ext cx="939727" cy="64776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9589E37" w14:textId="77777777" w:rsidR="00965DCF" w:rsidRPr="00D67374" w:rsidRDefault="00965D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2B49"/>
    <w:multiLevelType w:val="hybridMultilevel"/>
    <w:tmpl w:val="74B6F9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C4A2F53"/>
    <w:multiLevelType w:val="hybridMultilevel"/>
    <w:tmpl w:val="870C384A"/>
    <w:lvl w:ilvl="0" w:tplc="EB2EE234">
      <w:start w:val="1"/>
      <w:numFmt w:val="bullet"/>
      <w:lvlText w:val="-"/>
      <w:lvlJc w:val="left"/>
      <w:pPr>
        <w:ind w:left="405" w:hanging="360"/>
      </w:pPr>
      <w:rPr>
        <w:rFonts w:ascii="Arial" w:eastAsia="Times New Roman" w:hAnsi="Arial" w:cs="Arial" w:hint="default"/>
      </w:rPr>
    </w:lvl>
    <w:lvl w:ilvl="1" w:tplc="04160003" w:tentative="1">
      <w:start w:val="1"/>
      <w:numFmt w:val="bullet"/>
      <w:lvlText w:val="o"/>
      <w:lvlJc w:val="left"/>
      <w:pPr>
        <w:ind w:left="1125" w:hanging="360"/>
      </w:pPr>
      <w:rPr>
        <w:rFonts w:ascii="Courier New" w:hAnsi="Courier New" w:cs="Courier New" w:hint="default"/>
      </w:rPr>
    </w:lvl>
    <w:lvl w:ilvl="2" w:tplc="04160005" w:tentative="1">
      <w:start w:val="1"/>
      <w:numFmt w:val="bullet"/>
      <w:lvlText w:val=""/>
      <w:lvlJc w:val="left"/>
      <w:pPr>
        <w:ind w:left="1845" w:hanging="360"/>
      </w:pPr>
      <w:rPr>
        <w:rFonts w:ascii="Wingdings" w:hAnsi="Wingdings" w:hint="default"/>
      </w:rPr>
    </w:lvl>
    <w:lvl w:ilvl="3" w:tplc="04160001" w:tentative="1">
      <w:start w:val="1"/>
      <w:numFmt w:val="bullet"/>
      <w:lvlText w:val=""/>
      <w:lvlJc w:val="left"/>
      <w:pPr>
        <w:ind w:left="2565" w:hanging="360"/>
      </w:pPr>
      <w:rPr>
        <w:rFonts w:ascii="Symbol" w:hAnsi="Symbol" w:hint="default"/>
      </w:rPr>
    </w:lvl>
    <w:lvl w:ilvl="4" w:tplc="04160003" w:tentative="1">
      <w:start w:val="1"/>
      <w:numFmt w:val="bullet"/>
      <w:lvlText w:val="o"/>
      <w:lvlJc w:val="left"/>
      <w:pPr>
        <w:ind w:left="3285" w:hanging="360"/>
      </w:pPr>
      <w:rPr>
        <w:rFonts w:ascii="Courier New" w:hAnsi="Courier New" w:cs="Courier New" w:hint="default"/>
      </w:rPr>
    </w:lvl>
    <w:lvl w:ilvl="5" w:tplc="04160005" w:tentative="1">
      <w:start w:val="1"/>
      <w:numFmt w:val="bullet"/>
      <w:lvlText w:val=""/>
      <w:lvlJc w:val="left"/>
      <w:pPr>
        <w:ind w:left="4005" w:hanging="360"/>
      </w:pPr>
      <w:rPr>
        <w:rFonts w:ascii="Wingdings" w:hAnsi="Wingdings" w:hint="default"/>
      </w:rPr>
    </w:lvl>
    <w:lvl w:ilvl="6" w:tplc="04160001" w:tentative="1">
      <w:start w:val="1"/>
      <w:numFmt w:val="bullet"/>
      <w:lvlText w:val=""/>
      <w:lvlJc w:val="left"/>
      <w:pPr>
        <w:ind w:left="4725" w:hanging="360"/>
      </w:pPr>
      <w:rPr>
        <w:rFonts w:ascii="Symbol" w:hAnsi="Symbol" w:hint="default"/>
      </w:rPr>
    </w:lvl>
    <w:lvl w:ilvl="7" w:tplc="04160003" w:tentative="1">
      <w:start w:val="1"/>
      <w:numFmt w:val="bullet"/>
      <w:lvlText w:val="o"/>
      <w:lvlJc w:val="left"/>
      <w:pPr>
        <w:ind w:left="5445" w:hanging="360"/>
      </w:pPr>
      <w:rPr>
        <w:rFonts w:ascii="Courier New" w:hAnsi="Courier New" w:cs="Courier New" w:hint="default"/>
      </w:rPr>
    </w:lvl>
    <w:lvl w:ilvl="8" w:tplc="04160005" w:tentative="1">
      <w:start w:val="1"/>
      <w:numFmt w:val="bullet"/>
      <w:lvlText w:val=""/>
      <w:lvlJc w:val="left"/>
      <w:pPr>
        <w:ind w:left="6165" w:hanging="360"/>
      </w:pPr>
      <w:rPr>
        <w:rFonts w:ascii="Wingdings" w:hAnsi="Wingdings" w:hint="default"/>
      </w:rPr>
    </w:lvl>
  </w:abstractNum>
  <w:abstractNum w:abstractNumId="2" w15:restartNumberingAfterBreak="0">
    <w:nsid w:val="13486991"/>
    <w:multiLevelType w:val="hybridMultilevel"/>
    <w:tmpl w:val="EA6836C6"/>
    <w:lvl w:ilvl="0" w:tplc="AF40D988">
      <w:start w:val="1"/>
      <w:numFmt w:val="bullet"/>
      <w:lvlText w:val="-"/>
      <w:lvlJc w:val="left"/>
      <w:pPr>
        <w:ind w:left="720" w:hanging="360"/>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36415CE"/>
    <w:multiLevelType w:val="hybridMultilevel"/>
    <w:tmpl w:val="5894A2B2"/>
    <w:lvl w:ilvl="0" w:tplc="41D04BC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3862B4D"/>
    <w:multiLevelType w:val="hybridMultilevel"/>
    <w:tmpl w:val="E56AA3A0"/>
    <w:lvl w:ilvl="0" w:tplc="7996FD80">
      <w:start w:val="1"/>
      <w:numFmt w:val="bullet"/>
      <w:lvlText w:val="-"/>
      <w:lvlJc w:val="left"/>
      <w:pPr>
        <w:ind w:left="765" w:hanging="360"/>
      </w:pPr>
      <w:rPr>
        <w:rFonts w:ascii="Arial" w:eastAsia="Times New Roman" w:hAnsi="Arial" w:cs="Arial" w:hint="default"/>
      </w:rPr>
    </w:lvl>
    <w:lvl w:ilvl="1" w:tplc="04160003" w:tentative="1">
      <w:start w:val="1"/>
      <w:numFmt w:val="bullet"/>
      <w:lvlText w:val="o"/>
      <w:lvlJc w:val="left"/>
      <w:pPr>
        <w:ind w:left="1485" w:hanging="360"/>
      </w:pPr>
      <w:rPr>
        <w:rFonts w:ascii="Courier New" w:hAnsi="Courier New" w:cs="Courier New" w:hint="default"/>
      </w:rPr>
    </w:lvl>
    <w:lvl w:ilvl="2" w:tplc="04160005" w:tentative="1">
      <w:start w:val="1"/>
      <w:numFmt w:val="bullet"/>
      <w:lvlText w:val=""/>
      <w:lvlJc w:val="left"/>
      <w:pPr>
        <w:ind w:left="2205" w:hanging="360"/>
      </w:pPr>
      <w:rPr>
        <w:rFonts w:ascii="Wingdings" w:hAnsi="Wingdings" w:hint="default"/>
      </w:rPr>
    </w:lvl>
    <w:lvl w:ilvl="3" w:tplc="04160001" w:tentative="1">
      <w:start w:val="1"/>
      <w:numFmt w:val="bullet"/>
      <w:lvlText w:val=""/>
      <w:lvlJc w:val="left"/>
      <w:pPr>
        <w:ind w:left="2925" w:hanging="360"/>
      </w:pPr>
      <w:rPr>
        <w:rFonts w:ascii="Symbol" w:hAnsi="Symbol" w:hint="default"/>
      </w:rPr>
    </w:lvl>
    <w:lvl w:ilvl="4" w:tplc="04160003" w:tentative="1">
      <w:start w:val="1"/>
      <w:numFmt w:val="bullet"/>
      <w:lvlText w:val="o"/>
      <w:lvlJc w:val="left"/>
      <w:pPr>
        <w:ind w:left="3645" w:hanging="360"/>
      </w:pPr>
      <w:rPr>
        <w:rFonts w:ascii="Courier New" w:hAnsi="Courier New" w:cs="Courier New" w:hint="default"/>
      </w:rPr>
    </w:lvl>
    <w:lvl w:ilvl="5" w:tplc="04160005" w:tentative="1">
      <w:start w:val="1"/>
      <w:numFmt w:val="bullet"/>
      <w:lvlText w:val=""/>
      <w:lvlJc w:val="left"/>
      <w:pPr>
        <w:ind w:left="4365" w:hanging="360"/>
      </w:pPr>
      <w:rPr>
        <w:rFonts w:ascii="Wingdings" w:hAnsi="Wingdings" w:hint="default"/>
      </w:rPr>
    </w:lvl>
    <w:lvl w:ilvl="6" w:tplc="04160001" w:tentative="1">
      <w:start w:val="1"/>
      <w:numFmt w:val="bullet"/>
      <w:lvlText w:val=""/>
      <w:lvlJc w:val="left"/>
      <w:pPr>
        <w:ind w:left="5085" w:hanging="360"/>
      </w:pPr>
      <w:rPr>
        <w:rFonts w:ascii="Symbol" w:hAnsi="Symbol" w:hint="default"/>
      </w:rPr>
    </w:lvl>
    <w:lvl w:ilvl="7" w:tplc="04160003" w:tentative="1">
      <w:start w:val="1"/>
      <w:numFmt w:val="bullet"/>
      <w:lvlText w:val="o"/>
      <w:lvlJc w:val="left"/>
      <w:pPr>
        <w:ind w:left="5805" w:hanging="360"/>
      </w:pPr>
      <w:rPr>
        <w:rFonts w:ascii="Courier New" w:hAnsi="Courier New" w:cs="Courier New" w:hint="default"/>
      </w:rPr>
    </w:lvl>
    <w:lvl w:ilvl="8" w:tplc="04160005" w:tentative="1">
      <w:start w:val="1"/>
      <w:numFmt w:val="bullet"/>
      <w:lvlText w:val=""/>
      <w:lvlJc w:val="left"/>
      <w:pPr>
        <w:ind w:left="6525" w:hanging="360"/>
      </w:pPr>
      <w:rPr>
        <w:rFonts w:ascii="Wingdings" w:hAnsi="Wingdings" w:hint="default"/>
      </w:rPr>
    </w:lvl>
  </w:abstractNum>
  <w:abstractNum w:abstractNumId="5" w15:restartNumberingAfterBreak="0">
    <w:nsid w:val="16143AAC"/>
    <w:multiLevelType w:val="multilevel"/>
    <w:tmpl w:val="4DB482A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65E38A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94D613D"/>
    <w:multiLevelType w:val="hybridMultilevel"/>
    <w:tmpl w:val="60F2A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B0C4849"/>
    <w:multiLevelType w:val="multilevel"/>
    <w:tmpl w:val="DE5A9D3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4%1.2"/>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4C3739A"/>
    <w:multiLevelType w:val="multilevel"/>
    <w:tmpl w:val="696CF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C6EFA"/>
    <w:multiLevelType w:val="hybridMultilevel"/>
    <w:tmpl w:val="996A129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A6A5F6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FB56241"/>
    <w:multiLevelType w:val="hybridMultilevel"/>
    <w:tmpl w:val="F7982958"/>
    <w:lvl w:ilvl="0" w:tplc="2D7068A4">
      <w:start w:val="1"/>
      <w:numFmt w:val="bullet"/>
      <w:lvlText w:val="-"/>
      <w:lvlJc w:val="left"/>
      <w:pPr>
        <w:ind w:left="1125" w:hanging="360"/>
      </w:pPr>
      <w:rPr>
        <w:rFonts w:ascii="Arial" w:eastAsia="Times New Roman" w:hAnsi="Arial" w:cs="Arial" w:hint="default"/>
      </w:rPr>
    </w:lvl>
    <w:lvl w:ilvl="1" w:tplc="04160003" w:tentative="1">
      <w:start w:val="1"/>
      <w:numFmt w:val="bullet"/>
      <w:lvlText w:val="o"/>
      <w:lvlJc w:val="left"/>
      <w:pPr>
        <w:ind w:left="1845" w:hanging="360"/>
      </w:pPr>
      <w:rPr>
        <w:rFonts w:ascii="Courier New" w:hAnsi="Courier New" w:cs="Courier New" w:hint="default"/>
      </w:rPr>
    </w:lvl>
    <w:lvl w:ilvl="2" w:tplc="04160005" w:tentative="1">
      <w:start w:val="1"/>
      <w:numFmt w:val="bullet"/>
      <w:lvlText w:val=""/>
      <w:lvlJc w:val="left"/>
      <w:pPr>
        <w:ind w:left="2565" w:hanging="360"/>
      </w:pPr>
      <w:rPr>
        <w:rFonts w:ascii="Wingdings" w:hAnsi="Wingdings" w:hint="default"/>
      </w:rPr>
    </w:lvl>
    <w:lvl w:ilvl="3" w:tplc="04160001" w:tentative="1">
      <w:start w:val="1"/>
      <w:numFmt w:val="bullet"/>
      <w:lvlText w:val=""/>
      <w:lvlJc w:val="left"/>
      <w:pPr>
        <w:ind w:left="3285" w:hanging="360"/>
      </w:pPr>
      <w:rPr>
        <w:rFonts w:ascii="Symbol" w:hAnsi="Symbol" w:hint="default"/>
      </w:rPr>
    </w:lvl>
    <w:lvl w:ilvl="4" w:tplc="04160003" w:tentative="1">
      <w:start w:val="1"/>
      <w:numFmt w:val="bullet"/>
      <w:lvlText w:val="o"/>
      <w:lvlJc w:val="left"/>
      <w:pPr>
        <w:ind w:left="4005" w:hanging="360"/>
      </w:pPr>
      <w:rPr>
        <w:rFonts w:ascii="Courier New" w:hAnsi="Courier New" w:cs="Courier New" w:hint="default"/>
      </w:rPr>
    </w:lvl>
    <w:lvl w:ilvl="5" w:tplc="04160005" w:tentative="1">
      <w:start w:val="1"/>
      <w:numFmt w:val="bullet"/>
      <w:lvlText w:val=""/>
      <w:lvlJc w:val="left"/>
      <w:pPr>
        <w:ind w:left="4725" w:hanging="360"/>
      </w:pPr>
      <w:rPr>
        <w:rFonts w:ascii="Wingdings" w:hAnsi="Wingdings" w:hint="default"/>
      </w:rPr>
    </w:lvl>
    <w:lvl w:ilvl="6" w:tplc="04160001" w:tentative="1">
      <w:start w:val="1"/>
      <w:numFmt w:val="bullet"/>
      <w:lvlText w:val=""/>
      <w:lvlJc w:val="left"/>
      <w:pPr>
        <w:ind w:left="5445" w:hanging="360"/>
      </w:pPr>
      <w:rPr>
        <w:rFonts w:ascii="Symbol" w:hAnsi="Symbol" w:hint="default"/>
      </w:rPr>
    </w:lvl>
    <w:lvl w:ilvl="7" w:tplc="04160003" w:tentative="1">
      <w:start w:val="1"/>
      <w:numFmt w:val="bullet"/>
      <w:lvlText w:val="o"/>
      <w:lvlJc w:val="left"/>
      <w:pPr>
        <w:ind w:left="6165" w:hanging="360"/>
      </w:pPr>
      <w:rPr>
        <w:rFonts w:ascii="Courier New" w:hAnsi="Courier New" w:cs="Courier New" w:hint="default"/>
      </w:rPr>
    </w:lvl>
    <w:lvl w:ilvl="8" w:tplc="04160005" w:tentative="1">
      <w:start w:val="1"/>
      <w:numFmt w:val="bullet"/>
      <w:lvlText w:val=""/>
      <w:lvlJc w:val="left"/>
      <w:pPr>
        <w:ind w:left="6885" w:hanging="360"/>
      </w:pPr>
      <w:rPr>
        <w:rFonts w:ascii="Wingdings" w:hAnsi="Wingdings" w:hint="default"/>
      </w:rPr>
    </w:lvl>
  </w:abstractNum>
  <w:abstractNum w:abstractNumId="13" w15:restartNumberingAfterBreak="0">
    <w:nsid w:val="327F6018"/>
    <w:multiLevelType w:val="hybridMultilevel"/>
    <w:tmpl w:val="F3E4FD02"/>
    <w:lvl w:ilvl="0" w:tplc="22380E60">
      <w:start w:val="1"/>
      <w:numFmt w:val="bullet"/>
      <w:lvlText w:val="-"/>
      <w:lvlJc w:val="left"/>
      <w:pPr>
        <w:ind w:left="720" w:hanging="360"/>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35B62AE"/>
    <w:multiLevelType w:val="hybridMultilevel"/>
    <w:tmpl w:val="E6F49C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65F64AA"/>
    <w:multiLevelType w:val="hybridMultilevel"/>
    <w:tmpl w:val="C638FC20"/>
    <w:lvl w:ilvl="0" w:tplc="9372015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7925F5C"/>
    <w:multiLevelType w:val="multilevel"/>
    <w:tmpl w:val="3F24BA98"/>
    <w:lvl w:ilvl="0">
      <w:start w:val="1"/>
      <w:numFmt w:val="decimal"/>
      <w:lvlText w:val="%1."/>
      <w:lvlJc w:val="left"/>
      <w:pPr>
        <w:ind w:left="360" w:hanging="360"/>
      </w:pPr>
    </w:lvl>
    <w:lvl w:ilvl="1">
      <w:start w:val="1"/>
      <mc:AlternateContent>
        <mc:Choice Requires="w14">
          <w:numFmt w:val="custom" w:format="001, 002, 003, ..."/>
        </mc:Choice>
        <mc:Fallback>
          <w:numFmt w:val="decimal"/>
        </mc:Fallback>
      </mc:AlternateContent>
      <w:lvlText w:val="MSG%2"/>
      <w:lvlJc w:val="left"/>
      <w:pPr>
        <w:ind w:left="720" w:hanging="360"/>
      </w:pPr>
      <w:rPr>
        <w:rFonts w:hint="default"/>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B860FBF"/>
    <w:multiLevelType w:val="multilevel"/>
    <w:tmpl w:val="825C7BA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C8001A9"/>
    <w:multiLevelType w:val="multilevel"/>
    <w:tmpl w:val="A658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38510F"/>
    <w:multiLevelType w:val="hybridMultilevel"/>
    <w:tmpl w:val="88BE8B60"/>
    <w:lvl w:ilvl="0" w:tplc="A22E26BE">
      <w:start w:val="1"/>
      <w:numFmt w:val="bullet"/>
      <w:lvlText w:val="-"/>
      <w:lvlJc w:val="left"/>
      <w:pPr>
        <w:ind w:left="1125" w:hanging="360"/>
      </w:pPr>
      <w:rPr>
        <w:rFonts w:ascii="Arial" w:eastAsia="Times New Roman" w:hAnsi="Arial" w:cs="Arial" w:hint="default"/>
      </w:rPr>
    </w:lvl>
    <w:lvl w:ilvl="1" w:tplc="04160003" w:tentative="1">
      <w:start w:val="1"/>
      <w:numFmt w:val="bullet"/>
      <w:lvlText w:val="o"/>
      <w:lvlJc w:val="left"/>
      <w:pPr>
        <w:ind w:left="1845" w:hanging="360"/>
      </w:pPr>
      <w:rPr>
        <w:rFonts w:ascii="Courier New" w:hAnsi="Courier New" w:cs="Courier New" w:hint="default"/>
      </w:rPr>
    </w:lvl>
    <w:lvl w:ilvl="2" w:tplc="04160005" w:tentative="1">
      <w:start w:val="1"/>
      <w:numFmt w:val="bullet"/>
      <w:lvlText w:val=""/>
      <w:lvlJc w:val="left"/>
      <w:pPr>
        <w:ind w:left="2565" w:hanging="360"/>
      </w:pPr>
      <w:rPr>
        <w:rFonts w:ascii="Wingdings" w:hAnsi="Wingdings" w:hint="default"/>
      </w:rPr>
    </w:lvl>
    <w:lvl w:ilvl="3" w:tplc="04160001" w:tentative="1">
      <w:start w:val="1"/>
      <w:numFmt w:val="bullet"/>
      <w:lvlText w:val=""/>
      <w:lvlJc w:val="left"/>
      <w:pPr>
        <w:ind w:left="3285" w:hanging="360"/>
      </w:pPr>
      <w:rPr>
        <w:rFonts w:ascii="Symbol" w:hAnsi="Symbol" w:hint="default"/>
      </w:rPr>
    </w:lvl>
    <w:lvl w:ilvl="4" w:tplc="04160003" w:tentative="1">
      <w:start w:val="1"/>
      <w:numFmt w:val="bullet"/>
      <w:lvlText w:val="o"/>
      <w:lvlJc w:val="left"/>
      <w:pPr>
        <w:ind w:left="4005" w:hanging="360"/>
      </w:pPr>
      <w:rPr>
        <w:rFonts w:ascii="Courier New" w:hAnsi="Courier New" w:cs="Courier New" w:hint="default"/>
      </w:rPr>
    </w:lvl>
    <w:lvl w:ilvl="5" w:tplc="04160005" w:tentative="1">
      <w:start w:val="1"/>
      <w:numFmt w:val="bullet"/>
      <w:lvlText w:val=""/>
      <w:lvlJc w:val="left"/>
      <w:pPr>
        <w:ind w:left="4725" w:hanging="360"/>
      </w:pPr>
      <w:rPr>
        <w:rFonts w:ascii="Wingdings" w:hAnsi="Wingdings" w:hint="default"/>
      </w:rPr>
    </w:lvl>
    <w:lvl w:ilvl="6" w:tplc="04160001" w:tentative="1">
      <w:start w:val="1"/>
      <w:numFmt w:val="bullet"/>
      <w:lvlText w:val=""/>
      <w:lvlJc w:val="left"/>
      <w:pPr>
        <w:ind w:left="5445" w:hanging="360"/>
      </w:pPr>
      <w:rPr>
        <w:rFonts w:ascii="Symbol" w:hAnsi="Symbol" w:hint="default"/>
      </w:rPr>
    </w:lvl>
    <w:lvl w:ilvl="7" w:tplc="04160003" w:tentative="1">
      <w:start w:val="1"/>
      <w:numFmt w:val="bullet"/>
      <w:lvlText w:val="o"/>
      <w:lvlJc w:val="left"/>
      <w:pPr>
        <w:ind w:left="6165" w:hanging="360"/>
      </w:pPr>
      <w:rPr>
        <w:rFonts w:ascii="Courier New" w:hAnsi="Courier New" w:cs="Courier New" w:hint="default"/>
      </w:rPr>
    </w:lvl>
    <w:lvl w:ilvl="8" w:tplc="04160005" w:tentative="1">
      <w:start w:val="1"/>
      <w:numFmt w:val="bullet"/>
      <w:lvlText w:val=""/>
      <w:lvlJc w:val="left"/>
      <w:pPr>
        <w:ind w:left="6885" w:hanging="360"/>
      </w:pPr>
      <w:rPr>
        <w:rFonts w:ascii="Wingdings" w:hAnsi="Wingdings" w:hint="default"/>
      </w:rPr>
    </w:lvl>
  </w:abstractNum>
  <w:abstractNum w:abstractNumId="20" w15:restartNumberingAfterBreak="0">
    <w:nsid w:val="55660074"/>
    <w:multiLevelType w:val="hybridMultilevel"/>
    <w:tmpl w:val="698C89E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70E0E60"/>
    <w:multiLevelType w:val="multilevel"/>
    <w:tmpl w:val="4FB8A5B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57E37308"/>
    <w:multiLevelType w:val="hybridMultilevel"/>
    <w:tmpl w:val="335A7FB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BDD029E"/>
    <w:multiLevelType w:val="hybridMultilevel"/>
    <w:tmpl w:val="AC5CE44A"/>
    <w:lvl w:ilvl="0" w:tplc="A168A8E8">
      <w:start w:val="1"/>
      <w:numFmt w:val="decimalZero"/>
      <w:lvlText w:val="RN0%1"/>
      <w:lvlJc w:val="left"/>
      <w:pPr>
        <w:ind w:left="720" w:hanging="360"/>
      </w:pPr>
      <w:rPr>
        <w:rFonts w:hint="default"/>
        <w:b/>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4" w15:restartNumberingAfterBreak="0">
    <w:nsid w:val="5FBB5F4E"/>
    <w:multiLevelType w:val="hybridMultilevel"/>
    <w:tmpl w:val="FF46C6B6"/>
    <w:lvl w:ilvl="0" w:tplc="286AD80C">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57D4C03"/>
    <w:multiLevelType w:val="multilevel"/>
    <w:tmpl w:val="A4A60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B10BA7"/>
    <w:multiLevelType w:val="multilevel"/>
    <w:tmpl w:val="6C7C4BBE"/>
    <w:lvl w:ilvl="0">
      <w:start w:val="1"/>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7" w15:restartNumberingAfterBreak="0">
    <w:nsid w:val="688804DF"/>
    <w:multiLevelType w:val="hybridMultilevel"/>
    <w:tmpl w:val="16588EA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AE94BDB"/>
    <w:multiLevelType w:val="hybridMultilevel"/>
    <w:tmpl w:val="9662DA9A"/>
    <w:lvl w:ilvl="0" w:tplc="2D7068A4">
      <w:start w:val="1"/>
      <w:numFmt w:val="bullet"/>
      <w:lvlText w:val="-"/>
      <w:lvlJc w:val="left"/>
      <w:pPr>
        <w:ind w:left="1890" w:hanging="360"/>
      </w:pPr>
      <w:rPr>
        <w:rFonts w:ascii="Arial" w:eastAsia="Times New Roman" w:hAnsi="Arial" w:cs="Arial" w:hint="default"/>
      </w:rPr>
    </w:lvl>
    <w:lvl w:ilvl="1" w:tplc="04160003" w:tentative="1">
      <w:start w:val="1"/>
      <w:numFmt w:val="bullet"/>
      <w:lvlText w:val="o"/>
      <w:lvlJc w:val="left"/>
      <w:pPr>
        <w:ind w:left="2205" w:hanging="360"/>
      </w:pPr>
      <w:rPr>
        <w:rFonts w:ascii="Courier New" w:hAnsi="Courier New" w:cs="Courier New" w:hint="default"/>
      </w:rPr>
    </w:lvl>
    <w:lvl w:ilvl="2" w:tplc="04160005" w:tentative="1">
      <w:start w:val="1"/>
      <w:numFmt w:val="bullet"/>
      <w:lvlText w:val=""/>
      <w:lvlJc w:val="left"/>
      <w:pPr>
        <w:ind w:left="2925" w:hanging="360"/>
      </w:pPr>
      <w:rPr>
        <w:rFonts w:ascii="Wingdings" w:hAnsi="Wingdings" w:hint="default"/>
      </w:rPr>
    </w:lvl>
    <w:lvl w:ilvl="3" w:tplc="04160001" w:tentative="1">
      <w:start w:val="1"/>
      <w:numFmt w:val="bullet"/>
      <w:lvlText w:val=""/>
      <w:lvlJc w:val="left"/>
      <w:pPr>
        <w:ind w:left="3645" w:hanging="360"/>
      </w:pPr>
      <w:rPr>
        <w:rFonts w:ascii="Symbol" w:hAnsi="Symbol" w:hint="default"/>
      </w:rPr>
    </w:lvl>
    <w:lvl w:ilvl="4" w:tplc="04160003" w:tentative="1">
      <w:start w:val="1"/>
      <w:numFmt w:val="bullet"/>
      <w:lvlText w:val="o"/>
      <w:lvlJc w:val="left"/>
      <w:pPr>
        <w:ind w:left="4365" w:hanging="360"/>
      </w:pPr>
      <w:rPr>
        <w:rFonts w:ascii="Courier New" w:hAnsi="Courier New" w:cs="Courier New" w:hint="default"/>
      </w:rPr>
    </w:lvl>
    <w:lvl w:ilvl="5" w:tplc="04160005" w:tentative="1">
      <w:start w:val="1"/>
      <w:numFmt w:val="bullet"/>
      <w:lvlText w:val=""/>
      <w:lvlJc w:val="left"/>
      <w:pPr>
        <w:ind w:left="5085" w:hanging="360"/>
      </w:pPr>
      <w:rPr>
        <w:rFonts w:ascii="Wingdings" w:hAnsi="Wingdings" w:hint="default"/>
      </w:rPr>
    </w:lvl>
    <w:lvl w:ilvl="6" w:tplc="04160001" w:tentative="1">
      <w:start w:val="1"/>
      <w:numFmt w:val="bullet"/>
      <w:lvlText w:val=""/>
      <w:lvlJc w:val="left"/>
      <w:pPr>
        <w:ind w:left="5805" w:hanging="360"/>
      </w:pPr>
      <w:rPr>
        <w:rFonts w:ascii="Symbol" w:hAnsi="Symbol" w:hint="default"/>
      </w:rPr>
    </w:lvl>
    <w:lvl w:ilvl="7" w:tplc="04160003" w:tentative="1">
      <w:start w:val="1"/>
      <w:numFmt w:val="bullet"/>
      <w:lvlText w:val="o"/>
      <w:lvlJc w:val="left"/>
      <w:pPr>
        <w:ind w:left="6525" w:hanging="360"/>
      </w:pPr>
      <w:rPr>
        <w:rFonts w:ascii="Courier New" w:hAnsi="Courier New" w:cs="Courier New" w:hint="default"/>
      </w:rPr>
    </w:lvl>
    <w:lvl w:ilvl="8" w:tplc="04160005" w:tentative="1">
      <w:start w:val="1"/>
      <w:numFmt w:val="bullet"/>
      <w:lvlText w:val=""/>
      <w:lvlJc w:val="left"/>
      <w:pPr>
        <w:ind w:left="7245" w:hanging="360"/>
      </w:pPr>
      <w:rPr>
        <w:rFonts w:ascii="Wingdings" w:hAnsi="Wingdings" w:hint="default"/>
      </w:rPr>
    </w:lvl>
  </w:abstractNum>
  <w:abstractNum w:abstractNumId="29" w15:restartNumberingAfterBreak="0">
    <w:nsid w:val="6DF50F05"/>
    <w:multiLevelType w:val="hybridMultilevel"/>
    <w:tmpl w:val="97681AE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F833B47"/>
    <w:multiLevelType w:val="hybridMultilevel"/>
    <w:tmpl w:val="0B7836C2"/>
    <w:lvl w:ilvl="0" w:tplc="582AA3DE">
      <w:start w:val="1"/>
      <w:numFmt w:val="bullet"/>
      <w:lvlText w:val="-"/>
      <w:lvlJc w:val="left"/>
      <w:pPr>
        <w:ind w:left="720" w:hanging="360"/>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86B65CA"/>
    <w:multiLevelType w:val="multilevel"/>
    <w:tmpl w:val="786B65CA"/>
    <w:lvl w:ilvl="0">
      <w:start w:val="1"/>
      <w:numFmt w:val="decimal"/>
      <w:pStyle w:val="AxureHeading1"/>
      <w:suff w:val="space"/>
      <w:lvlText w:val="%1."/>
      <w:lvlJc w:val="left"/>
      <w:pPr>
        <w:tabs>
          <w:tab w:val="left" w:pos="360"/>
        </w:tabs>
        <w:ind w:left="0" w:firstLine="0"/>
      </w:pPr>
    </w:lvl>
    <w:lvl w:ilvl="1">
      <w:start w:val="1"/>
      <w:numFmt w:val="decimal"/>
      <w:pStyle w:val="AxureHeading2"/>
      <w:suff w:val="space"/>
      <w:lvlText w:val="%1.%2."/>
      <w:lvlJc w:val="left"/>
      <w:pPr>
        <w:tabs>
          <w:tab w:val="left" w:pos="792"/>
        </w:tabs>
        <w:ind w:left="0" w:firstLine="0"/>
      </w:pPr>
    </w:lvl>
    <w:lvl w:ilvl="2">
      <w:start w:val="1"/>
      <w:numFmt w:val="decimal"/>
      <w:pStyle w:val="AxureHeading3"/>
      <w:suff w:val="space"/>
      <w:lvlText w:val="%1.%2.%3."/>
      <w:lvlJc w:val="left"/>
      <w:pPr>
        <w:tabs>
          <w:tab w:val="left" w:pos="1440"/>
        </w:tabs>
        <w:ind w:left="0" w:firstLine="0"/>
      </w:pPr>
    </w:lvl>
    <w:lvl w:ilvl="3">
      <w:start w:val="1"/>
      <w:numFmt w:val="decimal"/>
      <w:pStyle w:val="AxureHeading4"/>
      <w:suff w:val="space"/>
      <w:lvlText w:val="%1.%2.%3.%4."/>
      <w:lvlJc w:val="left"/>
      <w:pPr>
        <w:tabs>
          <w:tab w:val="left" w:pos="1800"/>
        </w:tabs>
        <w:ind w:left="0" w:firstLine="0"/>
      </w:pPr>
    </w:lvl>
    <w:lvl w:ilvl="4">
      <w:start w:val="1"/>
      <w:numFmt w:val="decimal"/>
      <w:suff w:val="space"/>
      <w:lvlText w:val="%1.%2.%3.%4.%5."/>
      <w:lvlJc w:val="left"/>
      <w:pPr>
        <w:tabs>
          <w:tab w:val="left" w:pos="2520"/>
        </w:tabs>
        <w:ind w:left="0" w:firstLine="0"/>
      </w:pPr>
    </w:lvl>
    <w:lvl w:ilvl="5">
      <w:start w:val="1"/>
      <w:numFmt w:val="decimal"/>
      <w:lvlText w:val="%1.%2.%3.%4.%5.%6."/>
      <w:lvlJc w:val="left"/>
      <w:pPr>
        <w:tabs>
          <w:tab w:val="left" w:pos="2880"/>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680"/>
        </w:tabs>
        <w:ind w:left="4320" w:hanging="1440"/>
      </w:pPr>
    </w:lvl>
  </w:abstractNum>
  <w:abstractNum w:abstractNumId="32" w15:restartNumberingAfterBreak="0">
    <w:nsid w:val="7984048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F437601"/>
    <w:multiLevelType w:val="hybridMultilevel"/>
    <w:tmpl w:val="2A2C2EB8"/>
    <w:lvl w:ilvl="0" w:tplc="9882451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F6105D3"/>
    <w:multiLevelType w:val="hybridMultilevel"/>
    <w:tmpl w:val="8E861852"/>
    <w:lvl w:ilvl="0" w:tplc="37621658">
      <w:start w:val="1"/>
      <w:numFmt w:val="bullet"/>
      <w:lvlText w:val="-"/>
      <w:lvlJc w:val="left"/>
      <w:pPr>
        <w:ind w:left="720" w:hanging="360"/>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25647821">
    <w:abstractNumId w:val="10"/>
  </w:num>
  <w:num w:numId="2" w16cid:durableId="1668510538">
    <w:abstractNumId w:val="0"/>
  </w:num>
  <w:num w:numId="3" w16cid:durableId="1792360348">
    <w:abstractNumId w:val="7"/>
  </w:num>
  <w:num w:numId="4" w16cid:durableId="1255626486">
    <w:abstractNumId w:val="26"/>
  </w:num>
  <w:num w:numId="5" w16cid:durableId="1226136765">
    <w:abstractNumId w:val="5"/>
  </w:num>
  <w:num w:numId="6" w16cid:durableId="1964921731">
    <w:abstractNumId w:val="21"/>
  </w:num>
  <w:num w:numId="7" w16cid:durableId="2030062821">
    <w:abstractNumId w:val="20"/>
  </w:num>
  <w:num w:numId="8" w16cid:durableId="892352782">
    <w:abstractNumId w:val="22"/>
  </w:num>
  <w:num w:numId="9" w16cid:durableId="1183325656">
    <w:abstractNumId w:val="17"/>
  </w:num>
  <w:num w:numId="10" w16cid:durableId="206059485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13399688">
    <w:abstractNumId w:val="3"/>
  </w:num>
  <w:num w:numId="12" w16cid:durableId="1622762323">
    <w:abstractNumId w:val="15"/>
  </w:num>
  <w:num w:numId="13" w16cid:durableId="1779182836">
    <w:abstractNumId w:val="33"/>
  </w:num>
  <w:num w:numId="14" w16cid:durableId="1336765004">
    <w:abstractNumId w:val="29"/>
  </w:num>
  <w:num w:numId="15" w16cid:durableId="1766145936">
    <w:abstractNumId w:val="32"/>
  </w:num>
  <w:num w:numId="16" w16cid:durableId="782699512">
    <w:abstractNumId w:val="6"/>
  </w:num>
  <w:num w:numId="17" w16cid:durableId="292174291">
    <w:abstractNumId w:val="16"/>
  </w:num>
  <w:num w:numId="18" w16cid:durableId="374045593">
    <w:abstractNumId w:val="27"/>
  </w:num>
  <w:num w:numId="19" w16cid:durableId="1553687942">
    <w:abstractNumId w:val="11"/>
  </w:num>
  <w:num w:numId="20" w16cid:durableId="2027173910">
    <w:abstractNumId w:val="8"/>
  </w:num>
  <w:num w:numId="21" w16cid:durableId="532110992">
    <w:abstractNumId w:val="23"/>
  </w:num>
  <w:num w:numId="22" w16cid:durableId="1972704902">
    <w:abstractNumId w:val="24"/>
  </w:num>
  <w:num w:numId="23" w16cid:durableId="129518483">
    <w:abstractNumId w:val="2"/>
  </w:num>
  <w:num w:numId="24" w16cid:durableId="1425951831">
    <w:abstractNumId w:val="19"/>
  </w:num>
  <w:num w:numId="25" w16cid:durableId="1423332746">
    <w:abstractNumId w:val="34"/>
  </w:num>
  <w:num w:numId="26" w16cid:durableId="1328896683">
    <w:abstractNumId w:val="1"/>
  </w:num>
  <w:num w:numId="27" w16cid:durableId="491601716">
    <w:abstractNumId w:val="13"/>
  </w:num>
  <w:num w:numId="28" w16cid:durableId="846018116">
    <w:abstractNumId w:val="30"/>
  </w:num>
  <w:num w:numId="29" w16cid:durableId="573206055">
    <w:abstractNumId w:val="4"/>
  </w:num>
  <w:num w:numId="30" w16cid:durableId="1555048155">
    <w:abstractNumId w:val="12"/>
  </w:num>
  <w:num w:numId="31" w16cid:durableId="1467115169">
    <w:abstractNumId w:val="28"/>
  </w:num>
  <w:num w:numId="32" w16cid:durableId="912356916">
    <w:abstractNumId w:val="9"/>
  </w:num>
  <w:num w:numId="33" w16cid:durableId="542333674">
    <w:abstractNumId w:val="25"/>
  </w:num>
  <w:num w:numId="34" w16cid:durableId="1636447362">
    <w:abstractNumId w:val="18"/>
  </w:num>
  <w:num w:numId="35" w16cid:durableId="16982345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E0A"/>
    <w:rsid w:val="00000C8C"/>
    <w:rsid w:val="000010DD"/>
    <w:rsid w:val="00001960"/>
    <w:rsid w:val="00006846"/>
    <w:rsid w:val="0001542B"/>
    <w:rsid w:val="00020895"/>
    <w:rsid w:val="00030C5F"/>
    <w:rsid w:val="0003308E"/>
    <w:rsid w:val="00044A24"/>
    <w:rsid w:val="000663C0"/>
    <w:rsid w:val="0007006F"/>
    <w:rsid w:val="00077958"/>
    <w:rsid w:val="000A411A"/>
    <w:rsid w:val="000D794F"/>
    <w:rsid w:val="000E0B86"/>
    <w:rsid w:val="000E2333"/>
    <w:rsid w:val="00107C05"/>
    <w:rsid w:val="001257B7"/>
    <w:rsid w:val="00126493"/>
    <w:rsid w:val="00145F0D"/>
    <w:rsid w:val="00147B2F"/>
    <w:rsid w:val="00153720"/>
    <w:rsid w:val="00154BE4"/>
    <w:rsid w:val="001603AD"/>
    <w:rsid w:val="001635D9"/>
    <w:rsid w:val="00176647"/>
    <w:rsid w:val="0019256B"/>
    <w:rsid w:val="0019359F"/>
    <w:rsid w:val="001A22F5"/>
    <w:rsid w:val="001A77E2"/>
    <w:rsid w:val="001B6BE1"/>
    <w:rsid w:val="001B7CBE"/>
    <w:rsid w:val="001C2BC9"/>
    <w:rsid w:val="001C314E"/>
    <w:rsid w:val="001D2C74"/>
    <w:rsid w:val="001D4756"/>
    <w:rsid w:val="001E0D48"/>
    <w:rsid w:val="001E3EB0"/>
    <w:rsid w:val="001E6942"/>
    <w:rsid w:val="001F40D6"/>
    <w:rsid w:val="001F502A"/>
    <w:rsid w:val="00200ABF"/>
    <w:rsid w:val="00206157"/>
    <w:rsid w:val="00224E3B"/>
    <w:rsid w:val="002257F6"/>
    <w:rsid w:val="0023399F"/>
    <w:rsid w:val="00242DDF"/>
    <w:rsid w:val="00250F4E"/>
    <w:rsid w:val="00251A8D"/>
    <w:rsid w:val="002552D9"/>
    <w:rsid w:val="002624F7"/>
    <w:rsid w:val="0027020C"/>
    <w:rsid w:val="00273E5E"/>
    <w:rsid w:val="00291632"/>
    <w:rsid w:val="00295DE2"/>
    <w:rsid w:val="00296044"/>
    <w:rsid w:val="002A46BF"/>
    <w:rsid w:val="002A55DC"/>
    <w:rsid w:val="002A5682"/>
    <w:rsid w:val="002A6A69"/>
    <w:rsid w:val="002B7661"/>
    <w:rsid w:val="002C32DA"/>
    <w:rsid w:val="002D6135"/>
    <w:rsid w:val="002E41AD"/>
    <w:rsid w:val="002F5F66"/>
    <w:rsid w:val="00303498"/>
    <w:rsid w:val="00306F74"/>
    <w:rsid w:val="00330DF0"/>
    <w:rsid w:val="003330AA"/>
    <w:rsid w:val="003350C2"/>
    <w:rsid w:val="00353C28"/>
    <w:rsid w:val="003679EE"/>
    <w:rsid w:val="00373C59"/>
    <w:rsid w:val="00394DF9"/>
    <w:rsid w:val="003A236A"/>
    <w:rsid w:val="003B12B3"/>
    <w:rsid w:val="003C1D11"/>
    <w:rsid w:val="003C4C47"/>
    <w:rsid w:val="003D437E"/>
    <w:rsid w:val="003D5A39"/>
    <w:rsid w:val="003E3E5C"/>
    <w:rsid w:val="003E409B"/>
    <w:rsid w:val="003F7B22"/>
    <w:rsid w:val="004136D4"/>
    <w:rsid w:val="0041475C"/>
    <w:rsid w:val="00416595"/>
    <w:rsid w:val="00417359"/>
    <w:rsid w:val="00424D72"/>
    <w:rsid w:val="00425084"/>
    <w:rsid w:val="00426B7D"/>
    <w:rsid w:val="00430175"/>
    <w:rsid w:val="0043057C"/>
    <w:rsid w:val="00430BC1"/>
    <w:rsid w:val="00431EC2"/>
    <w:rsid w:val="004327B8"/>
    <w:rsid w:val="00455E5A"/>
    <w:rsid w:val="004611A4"/>
    <w:rsid w:val="00462E49"/>
    <w:rsid w:val="00485097"/>
    <w:rsid w:val="00485CBE"/>
    <w:rsid w:val="00492A86"/>
    <w:rsid w:val="00493DB1"/>
    <w:rsid w:val="004A11AE"/>
    <w:rsid w:val="004A361B"/>
    <w:rsid w:val="004B268F"/>
    <w:rsid w:val="004B4910"/>
    <w:rsid w:val="004C2F85"/>
    <w:rsid w:val="004C311A"/>
    <w:rsid w:val="004D4C44"/>
    <w:rsid w:val="00503988"/>
    <w:rsid w:val="0050622C"/>
    <w:rsid w:val="00507547"/>
    <w:rsid w:val="00507803"/>
    <w:rsid w:val="005120E4"/>
    <w:rsid w:val="0051249D"/>
    <w:rsid w:val="0052030C"/>
    <w:rsid w:val="0052486A"/>
    <w:rsid w:val="005248A9"/>
    <w:rsid w:val="0053362E"/>
    <w:rsid w:val="0053628F"/>
    <w:rsid w:val="005531D1"/>
    <w:rsid w:val="0055350C"/>
    <w:rsid w:val="00556AEF"/>
    <w:rsid w:val="00582C1F"/>
    <w:rsid w:val="00583726"/>
    <w:rsid w:val="00590825"/>
    <w:rsid w:val="00596736"/>
    <w:rsid w:val="005A1499"/>
    <w:rsid w:val="005A22DF"/>
    <w:rsid w:val="005A3A97"/>
    <w:rsid w:val="005C13A7"/>
    <w:rsid w:val="005C242F"/>
    <w:rsid w:val="005C4539"/>
    <w:rsid w:val="005D041F"/>
    <w:rsid w:val="005D6D70"/>
    <w:rsid w:val="005E423E"/>
    <w:rsid w:val="005E649B"/>
    <w:rsid w:val="005F2604"/>
    <w:rsid w:val="0061544A"/>
    <w:rsid w:val="00620CE6"/>
    <w:rsid w:val="00623635"/>
    <w:rsid w:val="0062467D"/>
    <w:rsid w:val="00656979"/>
    <w:rsid w:val="0066124C"/>
    <w:rsid w:val="00663718"/>
    <w:rsid w:val="00671186"/>
    <w:rsid w:val="00673FC1"/>
    <w:rsid w:val="00674A8B"/>
    <w:rsid w:val="006971B7"/>
    <w:rsid w:val="006A2A81"/>
    <w:rsid w:val="006B651D"/>
    <w:rsid w:val="006D05E6"/>
    <w:rsid w:val="006D5E92"/>
    <w:rsid w:val="006E0D21"/>
    <w:rsid w:val="006E0E0A"/>
    <w:rsid w:val="006E1187"/>
    <w:rsid w:val="006E35C8"/>
    <w:rsid w:val="006E48A9"/>
    <w:rsid w:val="006E668C"/>
    <w:rsid w:val="006F530E"/>
    <w:rsid w:val="006F6B14"/>
    <w:rsid w:val="007007C1"/>
    <w:rsid w:val="0071068A"/>
    <w:rsid w:val="007212A8"/>
    <w:rsid w:val="007300C5"/>
    <w:rsid w:val="00731059"/>
    <w:rsid w:val="00734795"/>
    <w:rsid w:val="00736053"/>
    <w:rsid w:val="00755380"/>
    <w:rsid w:val="007558D2"/>
    <w:rsid w:val="00762EE6"/>
    <w:rsid w:val="00776742"/>
    <w:rsid w:val="00776D59"/>
    <w:rsid w:val="00781414"/>
    <w:rsid w:val="0078344F"/>
    <w:rsid w:val="00784BE3"/>
    <w:rsid w:val="00795BB0"/>
    <w:rsid w:val="00797FDB"/>
    <w:rsid w:val="007A3DB3"/>
    <w:rsid w:val="007B0D16"/>
    <w:rsid w:val="007C0525"/>
    <w:rsid w:val="007C1EAE"/>
    <w:rsid w:val="007D638F"/>
    <w:rsid w:val="007F0FC7"/>
    <w:rsid w:val="007F123F"/>
    <w:rsid w:val="00802998"/>
    <w:rsid w:val="008067E3"/>
    <w:rsid w:val="0081494F"/>
    <w:rsid w:val="00817934"/>
    <w:rsid w:val="0082434D"/>
    <w:rsid w:val="008407BA"/>
    <w:rsid w:val="0084239C"/>
    <w:rsid w:val="00843968"/>
    <w:rsid w:val="00846ED8"/>
    <w:rsid w:val="0086328B"/>
    <w:rsid w:val="0086637B"/>
    <w:rsid w:val="00882FEB"/>
    <w:rsid w:val="00896B82"/>
    <w:rsid w:val="008A20D6"/>
    <w:rsid w:val="008A236C"/>
    <w:rsid w:val="008B61C8"/>
    <w:rsid w:val="008C08BB"/>
    <w:rsid w:val="008C4CFA"/>
    <w:rsid w:val="008C6B49"/>
    <w:rsid w:val="008E06D3"/>
    <w:rsid w:val="008F5F08"/>
    <w:rsid w:val="00903FB4"/>
    <w:rsid w:val="00906C91"/>
    <w:rsid w:val="00907ACE"/>
    <w:rsid w:val="00910D8F"/>
    <w:rsid w:val="00912CF1"/>
    <w:rsid w:val="00913EC8"/>
    <w:rsid w:val="0093549F"/>
    <w:rsid w:val="00936DF2"/>
    <w:rsid w:val="00945541"/>
    <w:rsid w:val="00952A8F"/>
    <w:rsid w:val="00953AC6"/>
    <w:rsid w:val="00965DCF"/>
    <w:rsid w:val="00967087"/>
    <w:rsid w:val="0097089E"/>
    <w:rsid w:val="009724C9"/>
    <w:rsid w:val="00982746"/>
    <w:rsid w:val="009837AE"/>
    <w:rsid w:val="009A6A49"/>
    <w:rsid w:val="009A737C"/>
    <w:rsid w:val="009B4125"/>
    <w:rsid w:val="009B4408"/>
    <w:rsid w:val="009D004F"/>
    <w:rsid w:val="009D48DB"/>
    <w:rsid w:val="009E14C3"/>
    <w:rsid w:val="009E1951"/>
    <w:rsid w:val="009E5D42"/>
    <w:rsid w:val="009F0670"/>
    <w:rsid w:val="009F4A16"/>
    <w:rsid w:val="00A004E7"/>
    <w:rsid w:val="00A03013"/>
    <w:rsid w:val="00A03AAB"/>
    <w:rsid w:val="00A11B3A"/>
    <w:rsid w:val="00A13137"/>
    <w:rsid w:val="00A200B7"/>
    <w:rsid w:val="00A20834"/>
    <w:rsid w:val="00A21879"/>
    <w:rsid w:val="00A22CCB"/>
    <w:rsid w:val="00A242B2"/>
    <w:rsid w:val="00A322AB"/>
    <w:rsid w:val="00A32750"/>
    <w:rsid w:val="00A41E84"/>
    <w:rsid w:val="00A458A1"/>
    <w:rsid w:val="00A458CC"/>
    <w:rsid w:val="00A47B47"/>
    <w:rsid w:val="00A57806"/>
    <w:rsid w:val="00A654F8"/>
    <w:rsid w:val="00A6745F"/>
    <w:rsid w:val="00A75419"/>
    <w:rsid w:val="00A868E0"/>
    <w:rsid w:val="00A87618"/>
    <w:rsid w:val="00A90ACC"/>
    <w:rsid w:val="00A9243C"/>
    <w:rsid w:val="00A93B90"/>
    <w:rsid w:val="00AA2FBC"/>
    <w:rsid w:val="00AB163E"/>
    <w:rsid w:val="00AB2526"/>
    <w:rsid w:val="00AB336B"/>
    <w:rsid w:val="00AB621C"/>
    <w:rsid w:val="00AC0B06"/>
    <w:rsid w:val="00AC71AF"/>
    <w:rsid w:val="00AC7203"/>
    <w:rsid w:val="00AE4CF5"/>
    <w:rsid w:val="00AE5B76"/>
    <w:rsid w:val="00AE7A6C"/>
    <w:rsid w:val="00B1028A"/>
    <w:rsid w:val="00B11B55"/>
    <w:rsid w:val="00B12B0D"/>
    <w:rsid w:val="00B13334"/>
    <w:rsid w:val="00B13E4D"/>
    <w:rsid w:val="00B16441"/>
    <w:rsid w:val="00B30640"/>
    <w:rsid w:val="00B308EB"/>
    <w:rsid w:val="00B430D9"/>
    <w:rsid w:val="00B433E4"/>
    <w:rsid w:val="00B62B50"/>
    <w:rsid w:val="00B64DE6"/>
    <w:rsid w:val="00B66CB2"/>
    <w:rsid w:val="00B80E99"/>
    <w:rsid w:val="00BA096C"/>
    <w:rsid w:val="00BA1910"/>
    <w:rsid w:val="00BA3F31"/>
    <w:rsid w:val="00BA59BD"/>
    <w:rsid w:val="00BA6FEA"/>
    <w:rsid w:val="00BB27CB"/>
    <w:rsid w:val="00BB569D"/>
    <w:rsid w:val="00BB68DC"/>
    <w:rsid w:val="00BB7CB0"/>
    <w:rsid w:val="00BC5479"/>
    <w:rsid w:val="00BD14FE"/>
    <w:rsid w:val="00BD3DB2"/>
    <w:rsid w:val="00BD5D6E"/>
    <w:rsid w:val="00BD7795"/>
    <w:rsid w:val="00BE1A55"/>
    <w:rsid w:val="00C06F6E"/>
    <w:rsid w:val="00C1105B"/>
    <w:rsid w:val="00C12A52"/>
    <w:rsid w:val="00C13596"/>
    <w:rsid w:val="00C14829"/>
    <w:rsid w:val="00C17296"/>
    <w:rsid w:val="00C21108"/>
    <w:rsid w:val="00C2266E"/>
    <w:rsid w:val="00C22E7E"/>
    <w:rsid w:val="00C2583A"/>
    <w:rsid w:val="00C25901"/>
    <w:rsid w:val="00C26110"/>
    <w:rsid w:val="00C43105"/>
    <w:rsid w:val="00C50519"/>
    <w:rsid w:val="00C517FF"/>
    <w:rsid w:val="00C52D19"/>
    <w:rsid w:val="00C65D1E"/>
    <w:rsid w:val="00C6670B"/>
    <w:rsid w:val="00C709EF"/>
    <w:rsid w:val="00C72278"/>
    <w:rsid w:val="00C833D9"/>
    <w:rsid w:val="00C97417"/>
    <w:rsid w:val="00CA57D5"/>
    <w:rsid w:val="00CB2A81"/>
    <w:rsid w:val="00CC5C54"/>
    <w:rsid w:val="00CD1BCD"/>
    <w:rsid w:val="00CE1134"/>
    <w:rsid w:val="00CE2823"/>
    <w:rsid w:val="00CE43B5"/>
    <w:rsid w:val="00CF0085"/>
    <w:rsid w:val="00CF0407"/>
    <w:rsid w:val="00CF3069"/>
    <w:rsid w:val="00D04C51"/>
    <w:rsid w:val="00D1088B"/>
    <w:rsid w:val="00D12193"/>
    <w:rsid w:val="00D15B82"/>
    <w:rsid w:val="00D2069B"/>
    <w:rsid w:val="00D21BFD"/>
    <w:rsid w:val="00D21DEF"/>
    <w:rsid w:val="00D24AC8"/>
    <w:rsid w:val="00D24BE5"/>
    <w:rsid w:val="00D24E19"/>
    <w:rsid w:val="00D32BEA"/>
    <w:rsid w:val="00D350C8"/>
    <w:rsid w:val="00D46E1E"/>
    <w:rsid w:val="00D53659"/>
    <w:rsid w:val="00D56ACC"/>
    <w:rsid w:val="00D57C0A"/>
    <w:rsid w:val="00D67374"/>
    <w:rsid w:val="00D716CC"/>
    <w:rsid w:val="00D845A8"/>
    <w:rsid w:val="00D86A31"/>
    <w:rsid w:val="00D87111"/>
    <w:rsid w:val="00D9070E"/>
    <w:rsid w:val="00D91A64"/>
    <w:rsid w:val="00DA3CCA"/>
    <w:rsid w:val="00DA3D21"/>
    <w:rsid w:val="00DA5771"/>
    <w:rsid w:val="00DA7775"/>
    <w:rsid w:val="00DC0B56"/>
    <w:rsid w:val="00DC1BFE"/>
    <w:rsid w:val="00DC32EE"/>
    <w:rsid w:val="00DC4635"/>
    <w:rsid w:val="00DC5C08"/>
    <w:rsid w:val="00DD0A9A"/>
    <w:rsid w:val="00DD248A"/>
    <w:rsid w:val="00DD457A"/>
    <w:rsid w:val="00DE7F73"/>
    <w:rsid w:val="00DF01CC"/>
    <w:rsid w:val="00DF09C5"/>
    <w:rsid w:val="00DF67CD"/>
    <w:rsid w:val="00DF6FA2"/>
    <w:rsid w:val="00E04D4B"/>
    <w:rsid w:val="00E05A69"/>
    <w:rsid w:val="00E063A3"/>
    <w:rsid w:val="00E16F00"/>
    <w:rsid w:val="00E22B2A"/>
    <w:rsid w:val="00E422AF"/>
    <w:rsid w:val="00E46144"/>
    <w:rsid w:val="00E51CD0"/>
    <w:rsid w:val="00E67FB4"/>
    <w:rsid w:val="00E70FF9"/>
    <w:rsid w:val="00E72BCB"/>
    <w:rsid w:val="00E849CE"/>
    <w:rsid w:val="00EA3C3F"/>
    <w:rsid w:val="00EB1382"/>
    <w:rsid w:val="00EB4695"/>
    <w:rsid w:val="00EB55A0"/>
    <w:rsid w:val="00EC46F8"/>
    <w:rsid w:val="00ED72EF"/>
    <w:rsid w:val="00EE10DA"/>
    <w:rsid w:val="00EF2674"/>
    <w:rsid w:val="00EF2870"/>
    <w:rsid w:val="00EF6204"/>
    <w:rsid w:val="00F00B30"/>
    <w:rsid w:val="00F07F49"/>
    <w:rsid w:val="00F125E5"/>
    <w:rsid w:val="00F22D22"/>
    <w:rsid w:val="00F26453"/>
    <w:rsid w:val="00F44F50"/>
    <w:rsid w:val="00F506A3"/>
    <w:rsid w:val="00F53E77"/>
    <w:rsid w:val="00F565A5"/>
    <w:rsid w:val="00F635C1"/>
    <w:rsid w:val="00F81399"/>
    <w:rsid w:val="00F904E4"/>
    <w:rsid w:val="00F945B1"/>
    <w:rsid w:val="00F948D0"/>
    <w:rsid w:val="00F94EB1"/>
    <w:rsid w:val="00F950BD"/>
    <w:rsid w:val="00F9704A"/>
    <w:rsid w:val="00FA23D1"/>
    <w:rsid w:val="00FA3E3B"/>
    <w:rsid w:val="00FC0C9D"/>
    <w:rsid w:val="00FC43F7"/>
    <w:rsid w:val="00FD2F65"/>
    <w:rsid w:val="00FD4738"/>
    <w:rsid w:val="00FD6BD2"/>
    <w:rsid w:val="00FF08BB"/>
    <w:rsid w:val="00FF2F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46DCB"/>
  <w15:chartTrackingRefBased/>
  <w15:docId w15:val="{9B67E97E-04A0-497B-BA7D-758690DD5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94F"/>
    <w:pPr>
      <w:spacing w:before="120" w:after="120" w:line="240" w:lineRule="auto"/>
    </w:pPr>
    <w:rPr>
      <w:rFonts w:ascii="Arial" w:eastAsia="Times New Roman" w:hAnsi="Arial" w:cs="Arial"/>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E0E0A"/>
    <w:pPr>
      <w:spacing w:after="0" w:line="240" w:lineRule="auto"/>
    </w:pPr>
    <w:rPr>
      <w:rFonts w:eastAsiaTheme="minorEastAsia"/>
      <w:lang w:val="en-US"/>
    </w:rPr>
  </w:style>
  <w:style w:type="character" w:customStyle="1" w:styleId="NoSpacingChar">
    <w:name w:val="No Spacing Char"/>
    <w:basedOn w:val="DefaultParagraphFont"/>
    <w:link w:val="NoSpacing"/>
    <w:uiPriority w:val="1"/>
    <w:qFormat/>
    <w:rsid w:val="006E0E0A"/>
    <w:rPr>
      <w:rFonts w:eastAsiaTheme="minorEastAsia"/>
      <w:lang w:val="en-US"/>
    </w:rPr>
  </w:style>
  <w:style w:type="paragraph" w:styleId="ListParagraph">
    <w:name w:val="List Paragraph"/>
    <w:basedOn w:val="Normal"/>
    <w:uiPriority w:val="34"/>
    <w:qFormat/>
    <w:rsid w:val="006E668C"/>
    <w:pPr>
      <w:ind w:left="720"/>
      <w:contextualSpacing/>
    </w:pPr>
  </w:style>
  <w:style w:type="table" w:styleId="TableGrid">
    <w:name w:val="Table Grid"/>
    <w:basedOn w:val="TableNormal"/>
    <w:qFormat/>
    <w:rsid w:val="007347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373C5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73C59"/>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AxureHeading1">
    <w:name w:val="AxureHeading1"/>
    <w:basedOn w:val="Normal"/>
    <w:qFormat/>
    <w:rsid w:val="00776742"/>
    <w:pPr>
      <w:numPr>
        <w:numId w:val="10"/>
      </w:numPr>
      <w:spacing w:after="240"/>
    </w:pPr>
    <w:rPr>
      <w:b/>
      <w:color w:val="404040" w:themeColor="text1" w:themeTint="BF"/>
      <w:sz w:val="28"/>
    </w:rPr>
  </w:style>
  <w:style w:type="paragraph" w:customStyle="1" w:styleId="AxureHeading2">
    <w:name w:val="AxureHeading2"/>
    <w:basedOn w:val="Normal"/>
    <w:rsid w:val="00776742"/>
    <w:pPr>
      <w:numPr>
        <w:ilvl w:val="1"/>
        <w:numId w:val="10"/>
      </w:numPr>
    </w:pPr>
    <w:rPr>
      <w:b/>
      <w:color w:val="404040" w:themeColor="text1" w:themeTint="BF"/>
      <w:sz w:val="26"/>
    </w:rPr>
  </w:style>
  <w:style w:type="paragraph" w:customStyle="1" w:styleId="AxureHeading3">
    <w:name w:val="AxureHeading3"/>
    <w:basedOn w:val="Normal"/>
    <w:rsid w:val="00776742"/>
    <w:pPr>
      <w:numPr>
        <w:ilvl w:val="2"/>
        <w:numId w:val="10"/>
      </w:numPr>
      <w:spacing w:before="240"/>
    </w:pPr>
    <w:rPr>
      <w:b/>
      <w:color w:val="404040" w:themeColor="text1" w:themeTint="BF"/>
      <w:sz w:val="20"/>
    </w:rPr>
  </w:style>
  <w:style w:type="paragraph" w:customStyle="1" w:styleId="AxureHeading4">
    <w:name w:val="AxureHeading4"/>
    <w:basedOn w:val="Normal"/>
    <w:rsid w:val="00776742"/>
    <w:pPr>
      <w:numPr>
        <w:ilvl w:val="3"/>
        <w:numId w:val="10"/>
      </w:numPr>
      <w:spacing w:before="240"/>
    </w:pPr>
    <w:rPr>
      <w:b/>
      <w:i/>
      <w:color w:val="404040" w:themeColor="text1" w:themeTint="BF"/>
      <w:sz w:val="20"/>
    </w:rPr>
  </w:style>
  <w:style w:type="character" w:styleId="Strong">
    <w:name w:val="Strong"/>
    <w:basedOn w:val="DefaultParagraphFont"/>
    <w:uiPriority w:val="22"/>
    <w:qFormat/>
    <w:rsid w:val="000E2333"/>
    <w:rPr>
      <w:b/>
      <w:bCs/>
    </w:rPr>
  </w:style>
  <w:style w:type="paragraph" w:styleId="Header">
    <w:name w:val="header"/>
    <w:basedOn w:val="Normal"/>
    <w:link w:val="HeaderChar"/>
    <w:uiPriority w:val="99"/>
    <w:unhideWhenUsed/>
    <w:rsid w:val="00D56ACC"/>
    <w:pPr>
      <w:tabs>
        <w:tab w:val="center" w:pos="4252"/>
        <w:tab w:val="right" w:pos="8504"/>
      </w:tabs>
      <w:spacing w:before="0" w:after="0"/>
    </w:pPr>
  </w:style>
  <w:style w:type="character" w:customStyle="1" w:styleId="HeaderChar">
    <w:name w:val="Header Char"/>
    <w:basedOn w:val="DefaultParagraphFont"/>
    <w:link w:val="Header"/>
    <w:uiPriority w:val="99"/>
    <w:rsid w:val="00D56ACC"/>
    <w:rPr>
      <w:rFonts w:ascii="Arial" w:eastAsia="Times New Roman" w:hAnsi="Arial" w:cs="Arial"/>
      <w:sz w:val="18"/>
      <w:szCs w:val="24"/>
      <w:lang w:val="en-US"/>
    </w:rPr>
  </w:style>
  <w:style w:type="paragraph" w:styleId="Footer">
    <w:name w:val="footer"/>
    <w:basedOn w:val="Normal"/>
    <w:link w:val="FooterChar"/>
    <w:uiPriority w:val="99"/>
    <w:unhideWhenUsed/>
    <w:rsid w:val="00D56ACC"/>
    <w:pPr>
      <w:tabs>
        <w:tab w:val="center" w:pos="4252"/>
        <w:tab w:val="right" w:pos="8504"/>
      </w:tabs>
      <w:spacing w:before="0" w:after="0"/>
    </w:pPr>
  </w:style>
  <w:style w:type="character" w:customStyle="1" w:styleId="FooterChar">
    <w:name w:val="Footer Char"/>
    <w:basedOn w:val="DefaultParagraphFont"/>
    <w:link w:val="Footer"/>
    <w:uiPriority w:val="99"/>
    <w:rsid w:val="00D56ACC"/>
    <w:rPr>
      <w:rFonts w:ascii="Arial" w:eastAsia="Times New Roman" w:hAnsi="Arial" w:cs="Arial"/>
      <w:sz w:val="18"/>
      <w:szCs w:val="24"/>
      <w:lang w:val="en-US"/>
    </w:rPr>
  </w:style>
  <w:style w:type="character" w:styleId="PlaceholderText">
    <w:name w:val="Placeholder Text"/>
    <w:basedOn w:val="DefaultParagraphFont"/>
    <w:uiPriority w:val="99"/>
    <w:semiHidden/>
    <w:qFormat/>
    <w:rsid w:val="00D56ACC"/>
    <w:rPr>
      <w:color w:val="808080"/>
    </w:rPr>
  </w:style>
  <w:style w:type="paragraph" w:customStyle="1" w:styleId="AxureHeadingBasic">
    <w:name w:val="AxureHeadingBasic"/>
    <w:basedOn w:val="Normal"/>
    <w:qFormat/>
    <w:rsid w:val="00D56ACC"/>
    <w:pPr>
      <w:spacing w:before="240"/>
    </w:pPr>
    <w:rPr>
      <w:b/>
      <w:color w:val="404040" w:themeColor="text1" w:themeTint="BF"/>
      <w:u w:val="single"/>
    </w:rPr>
  </w:style>
  <w:style w:type="character" w:customStyle="1" w:styleId="labelclass">
    <w:name w:val="labelclass"/>
    <w:basedOn w:val="DefaultParagraphFont"/>
    <w:rsid w:val="006971B7"/>
  </w:style>
  <w:style w:type="paragraph" w:styleId="Revision">
    <w:name w:val="Revision"/>
    <w:hidden/>
    <w:uiPriority w:val="99"/>
    <w:semiHidden/>
    <w:rsid w:val="00797FDB"/>
    <w:pPr>
      <w:spacing w:after="0" w:line="240" w:lineRule="auto"/>
    </w:pPr>
    <w:rPr>
      <w:rFonts w:ascii="Arial" w:eastAsia="Times New Roman" w:hAnsi="Arial" w:cs="Arial"/>
      <w:sz w:val="18"/>
      <w:szCs w:val="24"/>
    </w:rPr>
  </w:style>
  <w:style w:type="character" w:styleId="CommentReference">
    <w:name w:val="annotation reference"/>
    <w:basedOn w:val="DefaultParagraphFont"/>
    <w:uiPriority w:val="99"/>
    <w:semiHidden/>
    <w:unhideWhenUsed/>
    <w:rsid w:val="00797FDB"/>
    <w:rPr>
      <w:sz w:val="16"/>
      <w:szCs w:val="16"/>
    </w:rPr>
  </w:style>
  <w:style w:type="paragraph" w:styleId="CommentText">
    <w:name w:val="annotation text"/>
    <w:basedOn w:val="Normal"/>
    <w:link w:val="CommentTextChar"/>
    <w:uiPriority w:val="99"/>
    <w:unhideWhenUsed/>
    <w:rsid w:val="00797FDB"/>
    <w:rPr>
      <w:sz w:val="20"/>
      <w:szCs w:val="20"/>
    </w:rPr>
  </w:style>
  <w:style w:type="character" w:customStyle="1" w:styleId="CommentTextChar">
    <w:name w:val="Comment Text Char"/>
    <w:basedOn w:val="DefaultParagraphFont"/>
    <w:link w:val="CommentText"/>
    <w:uiPriority w:val="99"/>
    <w:rsid w:val="00797FDB"/>
    <w:rPr>
      <w:rFonts w:ascii="Arial" w:eastAsia="Times New Roman" w:hAnsi="Arial" w:cs="Arial"/>
      <w:sz w:val="20"/>
      <w:szCs w:val="20"/>
    </w:rPr>
  </w:style>
  <w:style w:type="paragraph" w:styleId="CommentSubject">
    <w:name w:val="annotation subject"/>
    <w:basedOn w:val="CommentText"/>
    <w:next w:val="CommentText"/>
    <w:link w:val="CommentSubjectChar"/>
    <w:uiPriority w:val="99"/>
    <w:semiHidden/>
    <w:unhideWhenUsed/>
    <w:rsid w:val="00797FDB"/>
    <w:rPr>
      <w:b/>
      <w:bCs/>
    </w:rPr>
  </w:style>
  <w:style w:type="character" w:customStyle="1" w:styleId="CommentSubjectChar">
    <w:name w:val="Comment Subject Char"/>
    <w:basedOn w:val="CommentTextChar"/>
    <w:link w:val="CommentSubject"/>
    <w:uiPriority w:val="99"/>
    <w:semiHidden/>
    <w:rsid w:val="00797FDB"/>
    <w:rPr>
      <w:rFonts w:ascii="Arial" w:eastAsia="Times New Roman" w:hAnsi="Arial" w:cs="Arial"/>
      <w:b/>
      <w:bCs/>
      <w:sz w:val="20"/>
      <w:szCs w:val="20"/>
    </w:rPr>
  </w:style>
  <w:style w:type="paragraph" w:styleId="BalloonText">
    <w:name w:val="Balloon Text"/>
    <w:basedOn w:val="Normal"/>
    <w:link w:val="BalloonTextChar"/>
    <w:uiPriority w:val="99"/>
    <w:semiHidden/>
    <w:unhideWhenUsed/>
    <w:rsid w:val="00EC46F8"/>
    <w:pPr>
      <w:spacing w:before="0"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EC46F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6843">
      <w:bodyDiv w:val="1"/>
      <w:marLeft w:val="0"/>
      <w:marRight w:val="0"/>
      <w:marTop w:val="0"/>
      <w:marBottom w:val="0"/>
      <w:divBdr>
        <w:top w:val="none" w:sz="0" w:space="0" w:color="auto"/>
        <w:left w:val="none" w:sz="0" w:space="0" w:color="auto"/>
        <w:bottom w:val="none" w:sz="0" w:space="0" w:color="auto"/>
        <w:right w:val="none" w:sz="0" w:space="0" w:color="auto"/>
      </w:divBdr>
    </w:div>
    <w:div w:id="92216066">
      <w:bodyDiv w:val="1"/>
      <w:marLeft w:val="0"/>
      <w:marRight w:val="0"/>
      <w:marTop w:val="0"/>
      <w:marBottom w:val="0"/>
      <w:divBdr>
        <w:top w:val="none" w:sz="0" w:space="0" w:color="auto"/>
        <w:left w:val="none" w:sz="0" w:space="0" w:color="auto"/>
        <w:bottom w:val="none" w:sz="0" w:space="0" w:color="auto"/>
        <w:right w:val="none" w:sz="0" w:space="0" w:color="auto"/>
      </w:divBdr>
    </w:div>
    <w:div w:id="293147855">
      <w:bodyDiv w:val="1"/>
      <w:marLeft w:val="0"/>
      <w:marRight w:val="0"/>
      <w:marTop w:val="0"/>
      <w:marBottom w:val="0"/>
      <w:divBdr>
        <w:top w:val="none" w:sz="0" w:space="0" w:color="auto"/>
        <w:left w:val="none" w:sz="0" w:space="0" w:color="auto"/>
        <w:bottom w:val="none" w:sz="0" w:space="0" w:color="auto"/>
        <w:right w:val="none" w:sz="0" w:space="0" w:color="auto"/>
      </w:divBdr>
    </w:div>
    <w:div w:id="385880383">
      <w:bodyDiv w:val="1"/>
      <w:marLeft w:val="0"/>
      <w:marRight w:val="0"/>
      <w:marTop w:val="0"/>
      <w:marBottom w:val="0"/>
      <w:divBdr>
        <w:top w:val="none" w:sz="0" w:space="0" w:color="auto"/>
        <w:left w:val="none" w:sz="0" w:space="0" w:color="auto"/>
        <w:bottom w:val="none" w:sz="0" w:space="0" w:color="auto"/>
        <w:right w:val="none" w:sz="0" w:space="0" w:color="auto"/>
      </w:divBdr>
    </w:div>
    <w:div w:id="964503794">
      <w:bodyDiv w:val="1"/>
      <w:marLeft w:val="0"/>
      <w:marRight w:val="0"/>
      <w:marTop w:val="0"/>
      <w:marBottom w:val="0"/>
      <w:divBdr>
        <w:top w:val="none" w:sz="0" w:space="0" w:color="auto"/>
        <w:left w:val="none" w:sz="0" w:space="0" w:color="auto"/>
        <w:bottom w:val="none" w:sz="0" w:space="0" w:color="auto"/>
        <w:right w:val="none" w:sz="0" w:space="0" w:color="auto"/>
      </w:divBdr>
    </w:div>
    <w:div w:id="1117678131">
      <w:bodyDiv w:val="1"/>
      <w:marLeft w:val="0"/>
      <w:marRight w:val="0"/>
      <w:marTop w:val="0"/>
      <w:marBottom w:val="0"/>
      <w:divBdr>
        <w:top w:val="none" w:sz="0" w:space="0" w:color="auto"/>
        <w:left w:val="none" w:sz="0" w:space="0" w:color="auto"/>
        <w:bottom w:val="none" w:sz="0" w:space="0" w:color="auto"/>
        <w:right w:val="none" w:sz="0" w:space="0" w:color="auto"/>
      </w:divBdr>
    </w:div>
    <w:div w:id="1391490900">
      <w:bodyDiv w:val="1"/>
      <w:marLeft w:val="0"/>
      <w:marRight w:val="0"/>
      <w:marTop w:val="0"/>
      <w:marBottom w:val="0"/>
      <w:divBdr>
        <w:top w:val="none" w:sz="0" w:space="0" w:color="auto"/>
        <w:left w:val="none" w:sz="0" w:space="0" w:color="auto"/>
        <w:bottom w:val="none" w:sz="0" w:space="0" w:color="auto"/>
        <w:right w:val="none" w:sz="0" w:space="0" w:color="auto"/>
      </w:divBdr>
    </w:div>
    <w:div w:id="1679582466">
      <w:bodyDiv w:val="1"/>
      <w:marLeft w:val="0"/>
      <w:marRight w:val="0"/>
      <w:marTop w:val="0"/>
      <w:marBottom w:val="0"/>
      <w:divBdr>
        <w:top w:val="none" w:sz="0" w:space="0" w:color="auto"/>
        <w:left w:val="none" w:sz="0" w:space="0" w:color="auto"/>
        <w:bottom w:val="none" w:sz="0" w:space="0" w:color="auto"/>
        <w:right w:val="none" w:sz="0" w:space="0" w:color="auto"/>
      </w:divBdr>
    </w:div>
    <w:div w:id="1961107794">
      <w:bodyDiv w:val="1"/>
      <w:marLeft w:val="0"/>
      <w:marRight w:val="0"/>
      <w:marTop w:val="0"/>
      <w:marBottom w:val="0"/>
      <w:divBdr>
        <w:top w:val="none" w:sz="0" w:space="0" w:color="auto"/>
        <w:left w:val="none" w:sz="0" w:space="0" w:color="auto"/>
        <w:bottom w:val="none" w:sz="0" w:space="0" w:color="auto"/>
        <w:right w:val="none" w:sz="0" w:space="0" w:color="auto"/>
      </w:divBdr>
    </w:div>
    <w:div w:id="2067600918">
      <w:bodyDiv w:val="1"/>
      <w:marLeft w:val="0"/>
      <w:marRight w:val="0"/>
      <w:marTop w:val="0"/>
      <w:marBottom w:val="0"/>
      <w:divBdr>
        <w:top w:val="none" w:sz="0" w:space="0" w:color="auto"/>
        <w:left w:val="none" w:sz="0" w:space="0" w:color="auto"/>
        <w:bottom w:val="none" w:sz="0" w:space="0" w:color="auto"/>
        <w:right w:val="none" w:sz="0" w:space="0" w:color="auto"/>
      </w:divBdr>
    </w:div>
    <w:div w:id="2082479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F2D84-E49F-4AA9-BF26-39814F4AF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10</Pages>
  <Words>1733</Words>
  <Characters>9362</Characters>
  <Application>Microsoft Office Word</Application>
  <DocSecurity>0</DocSecurity>
  <Lines>78</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Barbosa</dc:creator>
  <cp:keywords/>
  <dc:description/>
  <cp:lastModifiedBy>Pedro Barbosa</cp:lastModifiedBy>
  <cp:revision>11</cp:revision>
  <dcterms:created xsi:type="dcterms:W3CDTF">2025-10-05T03:27:00Z</dcterms:created>
  <dcterms:modified xsi:type="dcterms:W3CDTF">2026-04-01T02:42:00Z</dcterms:modified>
</cp:coreProperties>
</file>