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07580C" w14:textId="419E7B76" w:rsidR="006E0E0A" w:rsidRPr="00D67374" w:rsidRDefault="006E0E0A" w:rsidP="006E0E0A">
      <w:pPr>
        <w:pStyle w:val="SemEspaamento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  <w:r w:rsidRPr="00D67374">
        <w:rPr>
          <w:rFonts w:asciiTheme="majorHAnsi" w:eastAsiaTheme="majorEastAsia" w:hAnsiTheme="majorHAnsi" w:cstheme="majorBidi"/>
          <w:noProof/>
          <w:sz w:val="80"/>
          <w:szCs w:val="80"/>
          <w:lang w:val="pt-BR" w:eastAsia="pt-BR"/>
        </w:rPr>
        <w:drawing>
          <wp:inline distT="0" distB="0" distL="0" distR="0" wp14:anchorId="3739070E" wp14:editId="429AA450">
            <wp:extent cx="1581150" cy="1285875"/>
            <wp:effectExtent l="0" t="0" r="0" b="9525"/>
            <wp:docPr id="2" name="Imagem 2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PIEL</w:t>
      </w:r>
    </w:p>
    <w:p>
      <w:pPr>
        <w:jc w:val="right"/>
        <w:rPr>
          <w:b/>
          <w:bCs/>
        </w:rPr>
      </w:pPr>
      <w:r>
        <w:rPr>
          <w:b/>
          <w:bCs/>
        </w:rPr>
        <w:t xml:space="preserve">Especificação Funcional</w:t>
      </w:r>
    </w:p>
    <w:p>
      <w:pPr>
        <w:jc w:val="right"/>
      </w:pPr>
      <w:r>
        <w:t xml:space="preserve">Painel Administrativo de Avaliações (PAI)</w:t>
      </w:r>
    </w:p>
    <w:p/>
    <w:p>
      <w:pPr>
        <w:pStyle w:val="AxureHeadingBasic"/>
        <w:keepNext/>
        <w:jc w:val="center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Histórico de Versões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77"/>
        <w:gridCol w:w="1367"/>
        <w:gridCol w:w="5616"/>
        <w:gridCol w:w="1568"/>
      </w:tblGrid>
      <w:tr>
        <w:trPr>
          <w:tblHeader/>
        </w:trPr>
        <w:tc>
          <w:tcPr>
            <w:tcW w:w="1077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Versão</w:t>
            </w:r>
          </w:p>
        </w:tc>
        <w:tc>
          <w:tcPr>
            <w:tcW w:w="1367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Data</w:t>
            </w:r>
          </w:p>
        </w:tc>
        <w:tc>
          <w:tcPr>
            <w:tcW w:w="5616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  <w:tc>
          <w:tcPr>
            <w:tcW w:w="156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Autor</w:t>
            </w:r>
          </w:p>
        </w:tc>
      </w:tr>
      <w:tr>
        <w:tc>
          <w:tcPr>
            <w:tcW w:w="1077" w:type="dxa"/>
            <w:vAlign w:val="center"/>
          </w:tcPr>
          <w:p>
            <w:pPr>
              <w:spacing w:before="0" w:after="0"/>
            </w:pPr>
            <w:r>
              <w:t xml:space="preserve">1.3</w:t>
            </w:r>
          </w:p>
        </w:tc>
        <w:tc>
          <w:tcPr>
            <w:tcW w:w="1367" w:type="dxa"/>
            <w:vAlign w:val="center"/>
          </w:tcPr>
          <w:p>
            <w:pPr>
              <w:spacing w:before="0" w:after="0"/>
            </w:pPr>
            <w:r>
              <w:t xml:space="preserve">2026-10-04</w:t>
            </w:r>
          </w:p>
        </w:tc>
        <w:tc>
          <w:tcPr>
            <w:tcW w:w="5616" w:type="dxa"/>
            <w:vAlign w:val="center"/>
          </w:tcPr>
          <w:p>
            <w:pPr>
              <w:spacing w:before="0" w:after="0"/>
            </w:pPr>
            <w:r>
              <w:t xml:space="preserve">Regenerado — Artefato regenerado com o engine 4.1.0: carimbo, subtítulo com Major Feature Set, tabela de Features sem a coluna Prioridade (perfil requisitos), tabela de Telas separada da régua seguinte e rodapé com o nome do N1. Mantida a coluna Caminho de menu, convenção desta instância</w:t>
            </w:r>
          </w:p>
        </w:tc>
        <w:tc>
          <w:tcPr>
            <w:tcW w:w="1568" w:type="dxa"/>
            <w:vAlign w:val="center"/>
          </w:tcPr>
          <w:p>
            <w:pPr>
              <w:spacing w:before="0" w:after="0"/>
            </w:pPr>
            <w:r>
              <w:t xml:space="preserve">PHL TI</w:t>
            </w:r>
          </w:p>
        </w:tc>
      </w:tr>
      <w:tr>
        <w:tc>
          <w:tcPr>
            <w:tcW w:w="1077" w:type="dxa"/>
            <w:vAlign w:val="center"/>
          </w:tcPr>
          <w:p>
            <w:pPr>
              <w:spacing w:before="0" w:after="0"/>
            </w:pPr>
            <w:r>
              <w:t xml:space="preserve">1.2</w:t>
            </w:r>
          </w:p>
        </w:tc>
        <w:tc>
          <w:tcPr>
            <w:tcW w:w="1367" w:type="dxa"/>
            <w:vAlign w:val="center"/>
          </w:tcPr>
          <w:p>
            <w:pPr>
              <w:spacing w:before="0" w:after="0"/>
            </w:pPr>
            <w:r>
              <w:t xml:space="preserve">2026-09-01</w:t>
            </w:r>
          </w:p>
        </w:tc>
        <w:tc>
          <w:tcPr>
            <w:tcW w:w="5616" w:type="dxa"/>
            <w:vAlign w:val="center"/>
          </w:tcPr>
          <w:p>
            <w:pPr>
              <w:spacing w:before="0" w:after="0"/>
            </w:pPr>
            <w:r>
              <w:t xml:space="preserve">Referência atualizada — A reabertura por estado deixa de constar como feature prevista e não especificada — AVL-APU-12 Reabrir Etapa por UF ganhou N3 nesta data</w:t>
            </w:r>
          </w:p>
        </w:tc>
        <w:tc>
          <w:tcPr>
            <w:tcW w:w="1568" w:type="dxa"/>
            <w:vAlign w:val="center"/>
          </w:tcPr>
          <w:p>
            <w:pPr>
              <w:spacing w:before="0" w:after="0"/>
            </w:pPr>
            <w:r>
              <w:t xml:space="preserve">PHL TI</w:t>
            </w:r>
          </w:p>
        </w:tc>
      </w:tr>
      <w:tr>
        <w:tc>
          <w:tcPr>
            <w:tcW w:w="1077" w:type="dxa"/>
            <w:vAlign w:val="center"/>
          </w:tcPr>
          <w:p>
            <w:pPr>
              <w:spacing w:before="0" w:after="0"/>
            </w:pPr>
            <w:r>
              <w:t xml:space="preserve">1.1</w:t>
            </w:r>
          </w:p>
        </w:tc>
        <w:tc>
          <w:tcPr>
            <w:tcW w:w="1367" w:type="dxa"/>
            <w:vAlign w:val="center"/>
          </w:tcPr>
          <w:p>
            <w:pPr>
              <w:spacing w:before="0" w:after="0"/>
            </w:pPr>
            <w:r>
              <w:t xml:space="preserve">2026-08-28</w:t>
            </w:r>
          </w:p>
        </w:tc>
        <w:tc>
          <w:tcPr>
            <w:tcW w:w="5616" w:type="dxa"/>
            <w:vAlign w:val="center"/>
          </w:tcPr>
          <w:p>
            <w:pPr>
              <w:spacing w:before="0" w:after="0"/>
            </w:pPr>
            <w:r>
              <w:t xml:space="preserve">N2 alterado — Recorte por estado (UF) do Administrador Regional, andamento da consolidação por estado e trava de consolidação após o fechamento do estado</w:t>
            </w:r>
          </w:p>
        </w:tc>
        <w:tc>
          <w:tcPr>
            <w:tcW w:w="1568" w:type="dxa"/>
            <w:vAlign w:val="center"/>
          </w:tcPr>
          <w:p>
            <w:pPr>
              <w:spacing w:before="0" w:after="0"/>
            </w:pPr>
            <w:r>
              <w:t xml:space="preserve">PHL TI</w:t>
            </w:r>
          </w:p>
        </w:tc>
      </w:tr>
      <w:tr>
        <w:tc>
          <w:tcPr>
            <w:tcW w:w="1077" w:type="dxa"/>
            <w:vAlign w:val="center"/>
          </w:tcPr>
          <w:p>
            <w:pPr>
              <w:spacing w:before="0" w:after="0"/>
            </w:pPr>
            <w:r>
              <w:t xml:space="preserve">1.0</w:t>
            </w:r>
          </w:p>
        </w:tc>
        <w:tc>
          <w:tcPr>
            <w:tcW w:w="1367" w:type="dxa"/>
            <w:vAlign w:val="center"/>
          </w:tcPr>
          <w:p>
            <w:pPr>
              <w:spacing w:before="0" w:after="0"/>
            </w:pPr>
            <w:r>
              <w:t xml:space="preserve">2026-08-25</w:t>
            </w:r>
          </w:p>
        </w:tc>
        <w:tc>
          <w:tcPr>
            <w:tcW w:w="5616" w:type="dxa"/>
            <w:vAlign w:val="center"/>
          </w:tcPr>
          <w:p>
            <w:pPr>
              <w:spacing w:before="0" w:after="0"/>
            </w:pPr>
            <w:r>
              <w:t xml:space="preserve">N2 criado — Gerado do N1, das HUs e do inventário APF</w:t>
            </w:r>
          </w:p>
        </w:tc>
        <w:tc>
          <w:tcPr>
            <w:tcW w:w="1568" w:type="dxa"/>
            <w:vAlign w:val="center"/>
          </w:tcPr>
          <w:p>
            <w:pPr>
              <w:spacing w:before="0" w:after="0"/>
            </w:pPr>
            <w:r>
              <w:t xml:space="preserve">PHL TI</w:t>
            </w:r>
          </w:p>
        </w:tc>
      </w:tr>
    </w:tbl>
    <w:p/>
    <w:p>
      <w:pPr>
        <w:pStyle w:val="AxureHeadingBasic"/>
        <w:keepNext/>
        <w:pageBreakBefore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Painel Administrativo de Avaliações (PAI)</w:t>
      </w:r>
    </w:p>
    <w:p>
      <w:r>
        <w:t xml:space="preserve">Dá ao administrador a visão consolidada das avaliações em andamento e o espaço para transformar os pareceres individuais dos avaliadores em um único feedback consolidado — a voz oficial da banca — divulgado ao participante. Apresenta uma árvore por inscrição × etapa com indicadores e filtros, o detalhe com as notas por questão e o parecer de cada avaliador (auditáveis), e o editor de consolidação. A consolidação só é liberada depois que todos os avaliadores alocados finalizam. O acompanhamento é recortável por estado (UF) — com o Administrador Regional restrito às suas UFs — e mostra o andamento da consolidação de cada estado; fechado o estado na etapa, o feedback consolidado das suas inscrições deixa de ser alterável. A confidencialidade da edição não se aplica ao administrador, que enxerga todos os dados.</w:t>
      </w:r>
    </w:p>
    <w:p>
      <w:r>
        <w:t xml:space="preserve">Não faz: gerar a devolutiva com apoio de IA nem liberar a devolutiva respeitando a data da etapa (isso é Apuração e Devolutiva), atribuir notas (isso é Avaliação de Projetos), nem apurar médias ou fechar etapa (isso é Apuração e Devolutiva).</w:t>
      </w:r>
    </w:p>
    <w:p/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Funcionalidades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600"/>
        <w:gridCol w:w="6028"/>
      </w:tblGrid>
      <w:tr>
        <w:trPr>
          <w:tblHeader/>
        </w:trPr>
        <w:tc>
          <w:tcPr>
            <w:tcW w:w="3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Funcionalidade</w:t>
            </w:r>
          </w:p>
        </w:tc>
        <w:tc>
          <w:tcPr>
            <w:tcW w:w="60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Acompanhar Painel de Avaliações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Consultar a árvore de avaliações por inscrição × etapa, com KPIs agregados, filtros por premiação, etapa, estado (UF) e status de consolidação, busca e o andamento da consolidação por estado.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Consultar Avaliações por Etapa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Ver o detalhe de uma inscrição em uma etapa: avaliadores, status, notas por questão (auditoria) e o parecer individual de cada avaliador.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Consolidar Avaliação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Redigir e salvar o feedback consolidado da inscrição na etapa, com pré-visualização e marcação de rastreabilidade de apoio de IA; bloqueado depois de fechado o estado da inscrição na etapa.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Exportar Relatório de Avaliadores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Gerar em planilha o acompanhamento por avaliador — totais por situação e a lista das avaliações do recorte consultado.</w:t>
            </w:r>
          </w:p>
        </w:tc>
      </w:tr>
    </w:tbl>
    <w:p/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Telas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00"/>
        <w:gridCol w:w="3200"/>
        <w:gridCol w:w="3828"/>
      </w:tblGrid>
      <w:tr>
        <w:trPr>
          <w:tblHeader/>
        </w:trPr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Tela</w:t>
            </w:r>
          </w:p>
        </w:tc>
        <w:tc>
          <w:tcPr>
            <w:tcW w:w="32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Caminho de menu</w:t>
            </w:r>
          </w:p>
        </w:tc>
        <w:tc>
          <w:tcPr>
            <w:tcW w:w="38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Lista de Avaliações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t xml:space="preserve">Premiação › Avaliações</w:t>
            </w:r>
          </w:p>
        </w:tc>
        <w:tc>
          <w:tcPr>
            <w:tcW w:w="3828" w:type="dxa"/>
            <w:vAlign w:val="center"/>
          </w:tcPr>
          <w:p>
            <w:pPr>
              <w:spacing w:before="0" w:after="0"/>
            </w:pPr>
            <w:r>
              <w:t xml:space="preserve">Árvore inscrição × etapa com KPIs, filtros (inclusive por estado), resumo de consolidação por estado e ações por linha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Detalhe da Avaliação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3828" w:type="dxa"/>
            <w:vAlign w:val="center"/>
          </w:tcPr>
          <w:p>
            <w:pPr>
              <w:spacing w:before="0" w:after="0"/>
            </w:pPr>
            <w:r>
              <w:t xml:space="preserve">Abas por avaliador, drawer de auditoria de notas e editor de consolidação</w:t>
            </w:r>
          </w:p>
        </w:tc>
      </w:tr>
    </w:tbl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“—” no caminho de menu: a tela não tem entrada própria no menu — chega-se a ela a partir de outra tela.</w:t>
      </w:r>
    </w:p>
    <w:p/>
    <w:p>
      <w:pPr>
        <w:pStyle w:val="AxureHeadingBasic"/>
        <w:keepNext/>
        <w:pageBreakBefore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Jornada do Usuário</w:t>
      </w:r>
    </w:p>
    <w:p>
      <w:pPr>
        <w:jc w:val="center"/>
      </w:pPr>
      <w:r>
        <w:drawing>
          <wp:inline distT="0" distB="0" distL="0" distR="0">
            <wp:extent cx="6035040" cy="7850581"/>
            <wp:effectExtent l="0" t="0" r="0" b="0"/>
            <wp:docPr id="300" name="Jor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Jornada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785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AxureHeadingBasic"/>
        <w:keepNext/>
        <w:pageBreakBefore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Permissões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59"/>
        <w:gridCol w:w="2249"/>
        <w:gridCol w:w="2378"/>
        <w:gridCol w:w="2442"/>
      </w:tblGrid>
      <w:tr>
        <w:trPr>
          <w:tblHeader/>
        </w:trPr>
        <w:tc>
          <w:tcPr>
            <w:tcW w:w="2559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Perfil</w:t>
            </w:r>
          </w:p>
        </w:tc>
        <w:tc>
          <w:tcPr>
            <w:tcW w:w="2249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Acompanhar Painel</w:t>
            </w:r>
          </w:p>
        </w:tc>
        <w:tc>
          <w:tcPr>
            <w:tcW w:w="237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Consultar por Etapa</w:t>
            </w:r>
          </w:p>
        </w:tc>
        <w:tc>
          <w:tcPr>
            <w:tcW w:w="2442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Consolidar Avaliação</w:t>
            </w:r>
          </w:p>
        </w:tc>
      </w:tr>
      <w:tr>
        <w:tc>
          <w:tcPr>
            <w:tcW w:w="2559" w:type="dxa"/>
            <w:vAlign w:val="center"/>
          </w:tcPr>
          <w:p>
            <w:pPr>
              <w:spacing w:before="0" w:after="0"/>
            </w:pPr>
            <w:r>
              <w:t xml:space="preserve">Administrador Nacional</w:t>
            </w:r>
          </w:p>
        </w:tc>
        <w:tc>
          <w:tcPr>
            <w:tcW w:w="2249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2378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2442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</w:tr>
      <w:tr>
        <w:tc>
          <w:tcPr>
            <w:tcW w:w="2559" w:type="dxa"/>
            <w:vAlign w:val="center"/>
          </w:tcPr>
          <w:p>
            <w:pPr>
              <w:spacing w:before="0" w:after="0"/>
            </w:pPr>
            <w:r>
              <w:t xml:space="preserve">Administrador Regional</w:t>
            </w:r>
          </w:p>
        </w:tc>
        <w:tc>
          <w:tcPr>
            <w:tcW w:w="2249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2378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2442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</w:tr>
    </w:tbl>
    <w:p/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Acompanhar Painel de Avaliações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ao administrador acompanhar as avaliações em andamento da premiação, organizadas por inscrição e etapa e recortáveis por estado, com indicadores agregados, busca e o andamento da consolidação de cada estado, para saber o que já pode ser consolidado e quais estados ainda faltam.</w:t>
      </w:r>
    </w:p>
    <w:p>
      <w:r>
        <w:t xml:space="preserve">No menu Premiação › Avaliações, o administrador recorta a lista por filtros como premiação, etapa e estado, ou busca pelo protocolo, e acompanha a árvore de inscrições, etapas e avaliadores com os indicadores no topo; cada linha leva ao detalhe da avaliação.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acompanhamento organiza as avaliações por inscrição e, dentro de cada inscrição, por etapa, com os avaliadores alocados sob cada etapa.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status de consolidação de cada etapa assume um entre quatro valores: Aguardando avaliadores, Pronta para consolidação, Consolidada e Sem avaliadores.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Uma etapa fica pronta para consolidação somente quando todos os avaliadores alocados para a inscrição naquela etapa concluíram a avaliação.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visibilidade de cada avaliação segue a capability configurada na etapa: cada administrador acompanha apenas as inscrições das etapas autorizadas ao seu acesso. ⚠️ (capability por etapa definida em Etapas e Configuração da Avaliação — a confirmar o modelo de escopo)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confidencialidade configurada na premiação não se aplica ao administrador, que enxerga a identificação do participante e todos os dados da avaliação.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Cada inscrição acompanhada pertence ao estado (UF) do seu participante; as inscrições sem estado definido compõem o escopo Nacional. ⚠️ (agrupamento "Nacional" adotado do fechamento por UF — a confirmar para o acompanhamento das avaliações)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7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Administrador Regional acompanha apenas as inscrições dos estados aos quais está vinculado; o Administrador Nacional acompanha as inscrições de todos os estados da premiação.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8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andamento da consolidação é apurado por estado dentro de cada etapa: o estado está concluído quando todas as suas inscrições naquela etapa têm feedback consolidado, e pendente enquanto restar ao menos uma inscrição sem consolidação.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9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andamento da consolidação por estado abrange somente os estados dentro do escopo de acompanhamento do usuário.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10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seleção de etapa oferece ao Administrador Regional apenas as etapas de natureza regional; a etapa nacional não lhe é oferecida nem acompanhada. → ver AVL-APU-08 (Consultar Ranking da Etapa), regra 4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andamento da consolidação por estado (regra 8) é apresentado apenas nas etapas de natureza regional: na etapa nacional, cuja disputa não se organiza por estado, o acompanhamento não o traz.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seleção de etapa só é oferecida depois que uma premiação está escolhida, e identifica cada etapa pela ordem, pelo nome e pela situação — Aberta ou Fechada.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etapa selecionada recorta tanto a relação de avaliações quanto os indicadores agregados do topo.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Trocar ou limpar a premiação limpa a etapa selecionada.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acesso ao disparo do feedback da etapa é oferecido neste acompanhamento, e apenas ao Administrador Nacional. → ver AVL-APU-14 (Enviar Feedback ao Participante)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Cenário: Acompanhar as avaliações da premiação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existem avaliações em andamento na premiação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acesso a lista de avaliações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apresenta as inscrições com sua premiação, categoria, modalidade, a relação de avaliações finalizadas sobre alocadas e o status de consolidação de cada etapa</w:t>
      </w:r>
    </w:p>
    <w:p>
      <w:pPr>
        <w:spacing w:before="140" w:after="40"/>
      </w:pPr>
      <w:r>
        <w:rPr>
          <w:b/>
          <w:bCs/>
        </w:rPr>
        <w:t xml:space="preserve">Cenário: Consultar os indicadores agregados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acompanho as avaliações da premiação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observo os indicadores no topo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apresenta os totais de avaliadores alocados, avaliações em andamento, avaliações concluídas, prontas para consolidação, consolidadas e sem avaliadores</w:t>
      </w:r>
    </w:p>
    <w:p>
      <w:pPr>
        <w:spacing w:before="140" w:after="40"/>
      </w:pPr>
      <w:r>
        <w:rPr>
          <w:b/>
          <w:bCs/>
        </w:rPr>
        <w:t xml:space="preserve">Cenário: Consultar o andamento da consolidação por estado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premiação tem inscrições de participantes de vários estados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observo o andamento da consolidação por estado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apresenta cada estado com a quantidade de inscrições consolidadas sobre o total da etapa e a indicação de concluído ou pendente</w:t>
      </w:r>
    </w:p>
    <w:p>
      <w:pPr>
        <w:spacing w:before="140" w:after="40"/>
      </w:pPr>
      <w:r>
        <w:rPr>
          <w:b/>
          <w:bCs/>
        </w:rPr>
        <w:t xml:space="preserve">Cenário: Estado com a consolidação concluída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todas as inscrições do estado de Goiás na etapa têm feedback consolidado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observo o andamento da consolidação por estado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apresenta Goiás como concluído</w:t>
      </w:r>
    </w:p>
    <w:p>
      <w:pPr>
        <w:spacing w:before="140" w:after="40"/>
      </w:pPr>
      <w:r>
        <w:rPr>
          <w:b/>
          <w:bCs/>
        </w:rPr>
        <w:t xml:space="preserve">Cenário: Filtrar o acompanhamento por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premiação tem uma etapa regional e uma etapa nacional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seleciono a etapa regional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apresenta apenas as avaliações daquela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recalcula os indicadores agregados para aquela etapa</w:t>
      </w:r>
    </w:p>
    <w:p>
      <w:pPr>
        <w:spacing w:before="140" w:after="40"/>
      </w:pPr>
      <w:r>
        <w:rPr>
          <w:b/>
          <w:bCs/>
        </w:rPr>
        <w:t xml:space="preserve">Cenário: Trocar a premiação limpa 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selecionei uma premiação e uma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troco a premiação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limpa a etapa selecionada</w:t>
      </w:r>
    </w:p>
    <w:p>
      <w:pPr>
        <w:spacing w:before="140" w:after="40"/>
      </w:pPr>
      <w:r>
        <w:rPr>
          <w:b/>
          <w:bCs/>
        </w:rPr>
        <w:t xml:space="preserve">Cenário: Etapa nacional sem consolidação por estado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selecionei uma etapa de natureza nacional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acompanho as avaliações daquela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apresenta o andamento da consolidação por estado</w:t>
      </w:r>
    </w:p>
    <w:p>
      <w:pPr>
        <w:spacing w:before="140" w:after="40"/>
      </w:pPr>
      <w:r>
        <w:rPr>
          <w:b/>
          <w:bCs/>
        </w:rPr>
        <w:t xml:space="preserve">Cenário: Filtrar por status de consolidação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existem etapas em diferentes status de consolidação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seleciono o status "Pronta para consolidação"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apresenta apenas as etapas prontas para consolidação</w:t>
      </w:r>
    </w:p>
    <w:p>
      <w:pPr>
        <w:spacing w:before="140" w:after="40"/>
      </w:pPr>
      <w:r>
        <w:rPr>
          <w:b/>
          <w:bCs/>
        </w:rPr>
        <w:t xml:space="preserve">Cenário: Filtrar as avaliações por estado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existem inscrições de participantes de vários estados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seleciono o estado "Minas Gerais"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apresenta apenas as inscrições de participantes de Minas Gerais</w:t>
      </w:r>
    </w:p>
    <w:p>
      <w:pPr>
        <w:spacing w:before="140" w:after="40"/>
      </w:pPr>
      <w:r>
        <w:rPr>
          <w:b/>
          <w:bCs/>
        </w:rPr>
        <w:t xml:space="preserve">Cenário: Selecionar o escopo Nacional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existem inscrições sem estado definido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seleciono "Nacional" na seleção de estado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apresenta apenas as inscrições sem estado definido</w:t>
      </w:r>
    </w:p>
    <w:p>
      <w:pPr>
        <w:spacing w:before="140" w:after="40"/>
      </w:pPr>
      <w:r>
        <w:rPr>
          <w:b/>
          <w:bCs/>
        </w:rPr>
        <w:t xml:space="preserve">Cenário: Buscar por protocolo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existe a inscrição de protocolo "2026-IEL-00123"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informo "2026-IEL-00123" na busca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apresenta a inscrição correspondente</w:t>
      </w:r>
    </w:p>
    <w:p>
      <w:pPr>
        <w:spacing w:before="140" w:after="40"/>
      </w:pPr>
      <w:r>
        <w:rPr>
          <w:b/>
          <w:bCs/>
        </w:rPr>
        <w:t xml:space="preserve">Cenário: Busca sem resultados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nenhuma inscrição corresponde ao termo buscado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realizo a busca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 "Nenhum resultado para a busca."</w:t>
      </w:r>
    </w:p>
    <w:p>
      <w:pPr>
        <w:spacing w:before="140" w:after="40"/>
      </w:pPr>
      <w:r>
        <w:rPr>
          <w:b/>
          <w:bCs/>
        </w:rPr>
        <w:t xml:space="preserve">Cenário: Administrador Regional só alcança etapas regionais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sou Administrador Regional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abro a seleção de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oferece apenas as etapas de natureza regional</w:t>
      </w:r>
    </w:p>
    <w:p>
      <w:pPr>
        <w:spacing w:before="140" w:after="40"/>
      </w:pPr>
      <w:r>
        <w:rPr>
          <w:b/>
          <w:bCs/>
        </w:rPr>
        <w:t xml:space="preserve">Cenário: Administrador Regional restrito aos seus estados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sou Administrador Regional vinculado apenas a Minas Gerais e ao Espírito Santo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acesso a lista de avaliações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apresenta apenas as inscrições de Minas Gerais e do Espírito Santo e oferece somente esses estados na seleção de estado e no andamento da consolidação</w:t>
      </w:r>
    </w:p>
    <w:p>
      <w:pPr>
        <w:spacing w:before="140" w:after="40"/>
      </w:pPr>
      <w:r>
        <w:rPr>
          <w:b/>
          <w:bCs/>
        </w:rPr>
        <w:t xml:space="preserve">Cenário: Usuário sem permissão de acompanhamento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meu perfil não tem permissão para acompanhar avaliações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tento acessar a lista de avaliações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bloqueia e exibe "Você não tem permissão para esta ação."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Telas do protótipo navegável desta funcionalidade. São desenho de referência — guiam a intenção, não substituem as regras de negócio.</w:t>
      </w:r>
    </w:p>
    <w:p>
      <w:pPr>
        <w:rPr>
          <w:b/>
          <w:bCs/>
        </w:rPr>
      </w:pPr>
      <w:r>
        <w:rPr>
          <w:b/>
          <w:bCs/>
        </w:rPr>
        <w:t xml:space="preserve">Painel de Avaliações (1 de 2)</w:t>
      </w:r>
    </w:p>
    <w:p>
      <w:pPr>
        <w:jc w:val="center"/>
      </w:pPr>
      <w:r>
        <w:drawing>
          <wp:inline distT="0" distB="0" distL="0" distR="0">
            <wp:extent cx="5852160" cy="5207508"/>
            <wp:effectExtent l="0" t="0" r="0" b="0"/>
            <wp:docPr id="201" name="Painel de Avaliações (1 de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ainel de Avaliações (1 de 2)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207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b/>
          <w:bCs/>
        </w:rPr>
      </w:pPr>
      <w:r>
        <w:rPr>
          <w:b/>
          <w:bCs/>
        </w:rPr>
        <w:t xml:space="preserve">Painel de Avaliações (2 de 2)</w:t>
      </w:r>
    </w:p>
    <w:p>
      <w:pPr>
        <w:jc w:val="center"/>
      </w:pPr>
      <w:r>
        <w:drawing>
          <wp:inline distT="0" distB="0" distL="0" distR="0">
            <wp:extent cx="5852160" cy="5207508"/>
            <wp:effectExtent l="0" t="0" r="0" b="0"/>
            <wp:docPr id="202" name="Painel de Avaliações (2 de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ainel de Avaliações (2 de 2)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207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1"/>
        <w:gridCol w:w="1179"/>
        <w:gridCol w:w="1579"/>
        <w:gridCol w:w="993"/>
        <w:gridCol w:w="1475"/>
        <w:gridCol w:w="1369"/>
        <w:gridCol w:w="1672"/>
      </w:tblGrid>
      <w:tr>
        <w:trPr>
          <w:tblHeader/>
        </w:trPr>
        <w:tc>
          <w:tcPr>
            <w:tcW w:w="1361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179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Entidade</w:t>
            </w:r>
          </w:p>
        </w:tc>
        <w:tc>
          <w:tcPr>
            <w:tcW w:w="1579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993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4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369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1672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361" w:type="dxa"/>
            <w:vAlign w:val="center"/>
          </w:tcPr>
          <w:p>
            <w:pPr>
              <w:spacing w:before="0" w:after="0"/>
            </w:pPr>
            <w:r>
              <w:t xml:space="preserve">Premiação</w:t>
            </w:r>
          </w:p>
        </w:tc>
        <w:tc>
          <w:tcPr>
            <w:tcW w:w="1179" w:type="dxa"/>
            <w:vAlign w:val="center"/>
          </w:tcPr>
          <w:p>
            <w:pPr>
              <w:spacing w:before="0" w:after="0"/>
            </w:pPr>
            <w:r>
              <w:t xml:space="preserve">Premiação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993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475" w:type="dxa"/>
            <w:vAlign w:val="center"/>
          </w:tcPr>
          <w:p>
            <w:pPr>
              <w:spacing w:before="0" w:after="0"/>
            </w:pPr>
            <w:r>
              <w:t xml:space="preserve">seleção → Premiação</w:t>
            </w:r>
          </w:p>
        </w:tc>
        <w:tc>
          <w:tcPr>
            <w:tcW w:w="1369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672" w:type="dxa"/>
            <w:vAlign w:val="center"/>
          </w:tcPr>
          <w:p>
            <w:pPr>
              <w:spacing w:before="0" w:after="0"/>
            </w:pPr>
            <w:r>
              <w:t xml:space="preserve">filtra as avaliações da premiação escolhida</w:t>
            </w:r>
          </w:p>
        </w:tc>
      </w:tr>
      <w:tr>
        <w:tc>
          <w:tcPr>
            <w:tcW w:w="1361" w:type="dxa"/>
            <w:vAlign w:val="center"/>
          </w:tcPr>
          <w:p>
            <w:pPr>
              <w:spacing w:before="0" w:after="0"/>
            </w:pPr>
            <w:r>
              <w:t xml:space="preserve">Etapa</w:t>
            </w:r>
          </w:p>
        </w:tc>
        <w:tc>
          <w:tcPr>
            <w:tcW w:w="1179" w:type="dxa"/>
            <w:vAlign w:val="center"/>
          </w:tcPr>
          <w:p>
            <w:pPr>
              <w:spacing w:before="0" w:after="0"/>
            </w:pPr>
            <w:r>
              <w:t xml:space="preserve">Etapa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993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475" w:type="dxa"/>
            <w:vAlign w:val="center"/>
          </w:tcPr>
          <w:p>
            <w:pPr>
              <w:spacing w:before="0" w:after="0"/>
            </w:pPr>
            <w:r>
              <w:t xml:space="preserve">seleção → Etapa</w:t>
            </w:r>
          </w:p>
        </w:tc>
        <w:tc>
          <w:tcPr>
            <w:tcW w:w="1369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672" w:type="dxa"/>
            <w:vAlign w:val="center"/>
          </w:tcPr>
          <w:p>
            <w:pPr>
              <w:spacing w:before="0" w:after="0"/>
            </w:pPr>
            <w:r>
              <w:t xml:space="preserve">habilitada depois da premiação; cada opção traz ordem, nome e situação (Aberta ou Fechada); o Administrador Regional recebe apenas as etapas de natureza regional</w:t>
            </w:r>
          </w:p>
        </w:tc>
      </w:tr>
      <w:tr>
        <w:tc>
          <w:tcPr>
            <w:tcW w:w="1361" w:type="dxa"/>
            <w:vAlign w:val="center"/>
          </w:tcPr>
          <w:p>
            <w:pPr>
              <w:spacing w:before="0" w:after="0"/>
            </w:pPr>
            <w:r>
              <w:t xml:space="preserve">Estado (UF)</w:t>
            </w:r>
          </w:p>
        </w:tc>
        <w:tc>
          <w:tcPr>
            <w:tcW w:w="1179" w:type="dxa"/>
            <w:vAlign w:val="center"/>
          </w:tcPr>
          <w:p>
            <w:pPr>
              <w:spacing w:before="0" w:after="0"/>
            </w:pPr>
            <w:r>
              <w:t xml:space="preserve">Unidade Federativa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993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475" w:type="dxa"/>
            <w:vAlign w:val="center"/>
          </w:tcPr>
          <w:p>
            <w:pPr>
              <w:spacing w:before="0" w:after="0"/>
            </w:pPr>
            <w:r>
              <w:t xml:space="preserve">seleção múltipla → Unidade Federativa (inclui Nacional para as inscrições sem estado)</w:t>
            </w:r>
          </w:p>
        </w:tc>
        <w:tc>
          <w:tcPr>
            <w:tcW w:w="1369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672" w:type="dxa"/>
            <w:vAlign w:val="center"/>
          </w:tcPr>
          <w:p>
            <w:pPr>
              <w:spacing w:before="0" w:after="0"/>
            </w:pPr>
            <w:r>
              <w:t xml:space="preserve">limitada aos estados do escopo do usuário</w:t>
            </w:r>
          </w:p>
        </w:tc>
      </w:tr>
      <w:tr>
        <w:tc>
          <w:tcPr>
            <w:tcW w:w="1361" w:type="dxa"/>
            <w:vAlign w:val="center"/>
          </w:tcPr>
          <w:p>
            <w:pPr>
              <w:spacing w:before="0" w:after="0"/>
            </w:pPr>
            <w:r>
              <w:t xml:space="preserve">Status de consolidação</w:t>
            </w:r>
          </w:p>
        </w:tc>
        <w:tc>
          <w:tcPr>
            <w:tcW w:w="1179" w:type="dxa"/>
            <w:vAlign w:val="center"/>
          </w:tcPr>
          <w:p>
            <w:pPr>
              <w:spacing w:before="0" w:after="0"/>
            </w:pPr>
            <w:r>
              <w:t xml:space="preserve">dado de código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993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475" w:type="dxa"/>
            <w:vAlign w:val="center"/>
          </w:tcPr>
          <w:p>
            <w:pPr>
              <w:spacing w:before="0" w:after="0"/>
            </w:pPr>
            <w:r>
              <w:t xml:space="preserve">seleção múltipla (Aguardando avaliadores, Pronta para consolidação, Consolidada, Sem avaliadores)</w:t>
            </w:r>
          </w:p>
        </w:tc>
        <w:tc>
          <w:tcPr>
            <w:tcW w:w="1369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672" w:type="dxa"/>
            <w:vAlign w:val="center"/>
          </w:tcPr>
          <w:p>
            <w:pPr>
              <w:spacing w:before="0" w:after="0"/>
            </w:pPr>
            <w:r>
              <w:t xml:space="preserve">seleção múltipla</w:t>
            </w:r>
          </w:p>
        </w:tc>
      </w:tr>
      <w:tr>
        <w:tc>
          <w:tcPr>
            <w:tcW w:w="1361" w:type="dxa"/>
            <w:vAlign w:val="center"/>
          </w:tcPr>
          <w:p>
            <w:pPr>
              <w:spacing w:before="0" w:after="0"/>
            </w:pPr>
            <w:r>
              <w:t xml:space="preserve">Busca</w:t>
            </w:r>
          </w:p>
        </w:tc>
        <w:tc>
          <w:tcPr>
            <w:tcW w:w="1179" w:type="dxa"/>
            <w:vAlign w:val="center"/>
          </w:tcPr>
          <w:p>
            <w:pPr>
              <w:spacing w:before="0" w:after="0"/>
            </w:pPr>
            <w:r>
              <w:t xml:space="preserve">Inscrição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993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4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69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672" w:type="dxa"/>
            <w:vAlign w:val="center"/>
          </w:tcPr>
          <w:p>
            <w:pPr>
              <w:spacing w:before="0" w:after="0"/>
            </w:pPr>
            <w:r>
              <w:t xml:space="preserve">correspondência por protocolo, identificador da inscrição ou nome do participante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Consolidar Avaliação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ao administrador consolidar os pareceres dos avaliadores de uma inscrição em uma etapa num único texto oficial da banca, que passa a ser divulgado ao participante e se torna definitivo quando o estado da inscrição é fechado na etapa.</w:t>
      </w:r>
    </w:p>
    <w:p>
      <w:r>
        <w:t xml:space="preserve">No detalhe da avaliação, na aba "Consolidação", o administrador redige o texto com os pareceres individuais ao lado, marca se usou apoio de IA, pré-visualiza como o participante o verá e confirma a publicação.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consolidação exige um texto com no mínimo 100 caracteres não-brancos e no máximo 6.000 caracteres. ⚠️ (mínimo de 100 por HU-027; máximo de 6.000 por HU-031 — confirmar o mínimo definitivo)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consolidação só é permitida quando todos os avaliadores alocados para a inscrição na etapa concluíram a avaliação.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feedback consolidado é único por inscrição e etapa; enquanto o estado da inscrição estiver aberto na etapa, uma nova consolidação substitui o texto anterior e atualiza a data e o autor, sem manter histórico de versões.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marcação "Gerado com apoio de IA" acompanha o feedback consolidado para rastreabilidade da origem do texto.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feedback consolidado torna-se visível ao participante depois de salvo, respeitada a data de liberação configurada na etapa. ⚠️ (HU-027 indica visibilidade imediata; HU-031 condiciona à data de liberação — adotada a condição da data)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feedback consolidado das inscrições de um estado é imutável a partir do fechamento daquele estado na etapa; a reabertura do estado devolve o texto à condição alterável, preservando o conteúdo já consolidado. ⚠️ (a reabertura por estado é feature nova prevista na SP05, ainda não especificada)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7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inscrição sem estado definido consolida no escopo Nacional, sujeito à mesma imutabilidade a partir do fechamento desse escopo. ⚠️ (agrupamento "Nacional" adotado do fechamento por UF — a confirmar)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8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feedback consolidado de todas as inscrições de um estado na etapa é pré-requisito do fechamento daquele estado — pré-condição verificada em Encerrar Etapa por UF (AVL-APU-03).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Cenário: Consolidar o feedback da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todos os avaliadores alocados finalizaram a avaliação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escrevo um texto com 100 caracteres ou mais e confirmo a consolidação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registra o feedback consolidado com a data e o autor e o disponibiliza ao participante conforme a data de liberação da etapa</w:t>
      </w:r>
    </w:p>
    <w:p>
      <w:pPr>
        <w:spacing w:before="140" w:after="40"/>
      </w:pPr>
      <w:r>
        <w:rPr>
          <w:b/>
          <w:bCs/>
        </w:rPr>
        <w:t xml:space="preserve">Cenário: Texto abaixo do mínimo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estou consolidando o feedback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informo um texto com menos de 100 caracteres e confirmo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conclui a consolidação enquanto o texto não atingir o mínimo de 100 caracteres</w:t>
      </w:r>
    </w:p>
    <w:p>
      <w:pPr>
        <w:spacing w:before="140" w:after="40"/>
      </w:pPr>
      <w:r>
        <w:rPr>
          <w:b/>
          <w:bCs/>
        </w:rPr>
        <w:t xml:space="preserve">Cenário: Avaliadores ainda não finalizaram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há avaliadores alocados com avaliação pendente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acesso a consolidação da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mantém a consolidação indisponível até que todos os avaliadores finalizem</w:t>
      </w:r>
    </w:p>
    <w:p>
      <w:pPr>
        <w:spacing w:before="140" w:after="40"/>
      </w:pPr>
      <w:r>
        <w:rPr>
          <w:b/>
          <w:bCs/>
        </w:rPr>
        <w:t xml:space="preserve">Cenário: Re-consolidar substituindo o texto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já existe um feedback consolidado para a inscrição na etapa e o estado da inscrição continua aberto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altero o texto e confirmo novamente a consolidação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substitui o texto anterior e atualiza a data e o autor da consolidação</w:t>
      </w:r>
    </w:p>
    <w:p>
      <w:pPr>
        <w:spacing w:before="140" w:after="40"/>
      </w:pPr>
      <w:r>
        <w:rPr>
          <w:b/>
          <w:bCs/>
        </w:rPr>
        <w:t xml:space="preserve">Cenário: Consolidar a última inscrição pendente do estado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resta uma única inscrição sem feedback consolidado no estado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consolido o feedback dessa inscrição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registra o feedback e o estado passa a ter todas as inscrições consolidadas, atendendo ao pré-requisito do seu fechamento na etapa</w:t>
      </w:r>
    </w:p>
    <w:p>
      <w:pPr>
        <w:spacing w:before="140" w:after="40"/>
      </w:pPr>
      <w:r>
        <w:rPr>
          <w:b/>
          <w:bCs/>
        </w:rPr>
        <w:t xml:space="preserve">Cenário: Reabertura do estado devolve a consolidação à edição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estado da inscrição foi reaberto na etapa depois de fechado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altero o texto e confirmo novamente a consolidação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substitui o texto anterior e atualiza a data e o autor da consolidação</w:t>
      </w:r>
    </w:p>
    <w:p>
      <w:pPr>
        <w:spacing w:before="140" w:after="40"/>
      </w:pPr>
      <w:r>
        <w:rPr>
          <w:b/>
          <w:bCs/>
        </w:rPr>
        <w:t xml:space="preserve">Cenário: Marcar geração com apoio de IA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produzi o texto com auxílio de IA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assinalo "Gerado com apoio de IA" e confirmo a consolidação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registra o feedback consolidado com a marcação de geração por IA</w:t>
      </w:r>
    </w:p>
    <w:p>
      <w:pPr>
        <w:spacing w:before="140" w:after="40"/>
      </w:pPr>
      <w:r>
        <w:rPr>
          <w:b/>
          <w:bCs/>
        </w:rPr>
        <w:t xml:space="preserve">Cenário: Alterar a consolidação com o estado já fechado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estado da inscrição já foi fechado na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altero o texto e confirmo novamente a consolidação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mantém o texto consolidado anterior e exibe "O estado já foi fechado; o feedback consolidado não pode mais ser alterado."</w:t>
      </w:r>
    </w:p>
    <w:p>
      <w:pPr>
        <w:spacing w:before="140" w:after="40"/>
      </w:pPr>
      <w:r>
        <w:rPr>
          <w:b/>
          <w:bCs/>
        </w:rPr>
        <w:t xml:space="preserve">Cenário: Usuário sem permissão de consolidação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meu perfil não tem permissão para consolidar avaliações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tento consolidar o feedback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bloqueia e exibe "Você não tem permissão para esta ação."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Telas do protótipo navegável desta funcionalidade. São desenho de referência — guiam a intenção, não substituem as regras de negócio.</w:t>
      </w:r>
    </w:p>
    <w:p>
      <w:pPr>
        <w:rPr>
          <w:b/>
          <w:bCs/>
        </w:rPr>
      </w:pPr>
      <w:r>
        <w:rPr>
          <w:b/>
          <w:bCs/>
        </w:rPr>
        <w:t xml:space="preserve">Consolidar Avaliação</w:t>
      </w:r>
    </w:p>
    <w:p>
      <w:pPr>
        <w:jc w:val="center"/>
      </w:pPr>
      <w:r>
        <w:drawing>
          <wp:inline distT="0" distB="0" distL="0" distR="0">
            <wp:extent cx="5852160" cy="4878324"/>
            <wp:effectExtent l="0" t="0" r="0" b="0"/>
            <wp:docPr id="203" name="Consolidar Avali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Consolidar Avaliação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87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b/>
          <w:bCs/>
        </w:rPr>
      </w:pPr>
      <w:r>
        <w:rPr>
          <w:b/>
          <w:bCs/>
        </w:rPr>
        <w:t xml:space="preserve">Consolidação bloqueada (BA fechada)</w:t>
      </w:r>
    </w:p>
    <w:p>
      <w:pPr>
        <w:jc w:val="center"/>
      </w:pPr>
      <w:r>
        <w:drawing>
          <wp:inline distT="0" distB="0" distL="0" distR="0">
            <wp:extent cx="5852160" cy="5486400"/>
            <wp:effectExtent l="0" t="0" r="0" b="0"/>
            <wp:docPr id="204" name="Consolidação bloqueada (BA fechad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Consolidação bloqueada (BA fechada)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7"/>
        <w:gridCol w:w="1166"/>
        <w:gridCol w:w="1666"/>
        <w:gridCol w:w="1050"/>
        <w:gridCol w:w="1063"/>
        <w:gridCol w:w="1410"/>
        <w:gridCol w:w="1906"/>
      </w:tblGrid>
      <w:tr>
        <w:trPr>
          <w:tblHeader/>
        </w:trPr>
        <w:tc>
          <w:tcPr>
            <w:tcW w:w="1367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166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Entidade</w:t>
            </w:r>
          </w:p>
        </w:tc>
        <w:tc>
          <w:tcPr>
            <w:tcW w:w="1666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0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063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41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1906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367" w:type="dxa"/>
            <w:vAlign w:val="center"/>
          </w:tcPr>
          <w:p>
            <w:pPr>
              <w:spacing w:before="0" w:after="0"/>
            </w:pPr>
            <w:r>
              <w:t xml:space="preserve">Feedback consolidado</w:t>
            </w:r>
          </w:p>
        </w:tc>
        <w:tc>
          <w:tcPr>
            <w:tcW w:w="1166" w:type="dxa"/>
            <w:vAlign w:val="center"/>
          </w:tcPr>
          <w:p>
            <w:pPr>
              <w:spacing w:before="0" w:after="0"/>
            </w:pPr>
            <w:r>
              <w:t xml:space="preserve">Apuração por Etapa</w:t>
            </w:r>
          </w:p>
        </w:tc>
        <w:tc>
          <w:tcPr>
            <w:tcW w:w="1666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0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063" w:type="dxa"/>
            <w:vAlign w:val="center"/>
          </w:tcPr>
          <w:p>
            <w:pPr>
              <w:spacing w:before="0" w:after="0"/>
            </w:pPr>
            <w:r>
              <w:t xml:space="preserve">texto longo</w:t>
            </w:r>
          </w:p>
        </w:tc>
        <w:tc>
          <w:tcPr>
            <w:tcW w:w="1410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0"/>
            </w:pPr>
            <w:r>
              <w:t xml:space="preserve">mínimo de 100 caracteres não-brancos; máximo de 6.000 caracteres; alterável somente enquanto o estado da inscrição estiver aberto na etapa</w:t>
            </w:r>
          </w:p>
        </w:tc>
      </w:tr>
      <w:tr>
        <w:tc>
          <w:tcPr>
            <w:tcW w:w="1367" w:type="dxa"/>
            <w:vAlign w:val="center"/>
          </w:tcPr>
          <w:p>
            <w:pPr>
              <w:spacing w:before="0" w:after="0"/>
            </w:pPr>
            <w:r>
              <w:t xml:space="preserve">Gerado com apoio de IA</w:t>
            </w:r>
          </w:p>
        </w:tc>
        <w:tc>
          <w:tcPr>
            <w:tcW w:w="1166" w:type="dxa"/>
            <w:vAlign w:val="center"/>
          </w:tcPr>
          <w:p>
            <w:pPr>
              <w:spacing w:before="0" w:after="0"/>
            </w:pPr>
            <w:r>
              <w:t xml:space="preserve">Apuração por Etapa</w:t>
            </w:r>
          </w:p>
        </w:tc>
        <w:tc>
          <w:tcPr>
            <w:tcW w:w="1666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0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063" w:type="dxa"/>
            <w:vAlign w:val="center"/>
          </w:tcPr>
          <w:p>
            <w:pPr>
              <w:spacing w:before="0" w:after="0"/>
            </w:pPr>
            <w:r>
              <w:t xml:space="preserve">booleano</w:t>
            </w:r>
          </w:p>
        </w:tc>
        <w:tc>
          <w:tcPr>
            <w:tcW w:w="1410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0"/>
            </w:pPr>
            <w:r>
              <w:t xml:space="preserve">marcação de rastreabilidade da origem do texto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Feedback consolidado em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Data e hora do salvamento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salvar a consolidação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Feedback consolidado por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Autor da consolidação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salvar a consolidação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Status de consolidação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Consolidada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salvar a consolidação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Consultar Avaliações por Etapa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ao administrador consultar o detalhe de uma inscrição em uma etapa, reunindo os avaliadores alocados, o parecer individual de cada um e as notas por questão, como base para a consolidação.</w:t>
      </w:r>
    </w:p>
    <w:p>
      <w:r>
        <w:t xml:space="preserve">A partir da lista de avaliações, em Premiação › Avaliações, o administrador abre o detalhe de uma inscrição numa etapa, percorre a aba de cada avaliador, com o parecer e as notas, e, se quiser, abre a conferência das notas por questão.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detalhe reúne os avaliadores alocados para a inscrição na etapa, cada um com seu status individual: A iniciar, Em andamento e Finalizada.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parecer individual de cada avaliador tem no mínimo 50 caracteres e é somente leitura para o administrador.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conferência das notas relaciona, para cada questão do questionário, a nota atribuída por cada avaliador e o peso da questão.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média ponderada de cada avaliador resulta das notas por questão e dos respectivos pesos.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confidencialidade configurada na premiação não se aplica ao administrador; quando ela está ativa, a identidade dos avaliadores é apresentada como "Avaliador N".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Cenário: Consultar o detalhe da avaliação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selecionei uma inscrição em uma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abro o detalhe da avaliação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apresenta os avaliadores alocados com status, datas e média ponderada individual</w:t>
      </w:r>
    </w:p>
    <w:p>
      <w:pPr>
        <w:spacing w:before="140" w:after="40"/>
      </w:pPr>
      <w:r>
        <w:rPr>
          <w:b/>
          <w:bCs/>
        </w:rPr>
        <w:t xml:space="preserve">Cenário: Consultar o parecer individual de um avaliador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estou no detalhe da avaliação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consulto o avaliador finalizado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apresenta o parecer individual escrito por ele e as notas por questão</w:t>
      </w:r>
    </w:p>
    <w:p>
      <w:pPr>
        <w:spacing w:before="140" w:after="40"/>
      </w:pPr>
      <w:r>
        <w:rPr>
          <w:b/>
          <w:bCs/>
        </w:rPr>
        <w:t xml:space="preserve">Cenário: Conferir as notas por questão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estou no detalhe da avaliação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abro a conferência de notas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apresenta, para cada questão, a nota de cada avaliador e o peso da questão</w:t>
      </w:r>
    </w:p>
    <w:p>
      <w:pPr>
        <w:spacing w:before="140" w:after="40"/>
      </w:pPr>
      <w:r>
        <w:rPr>
          <w:b/>
          <w:bCs/>
        </w:rPr>
        <w:t xml:space="preserve">Cenário: Consultar avaliação com premiação confidencial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premiação está configurada como confidencial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consulto o detalhe da avaliação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apresenta os avaliadores como "Avaliador N" e mantém visíveis os pareceres e as notas</w:t>
      </w:r>
    </w:p>
    <w:p>
      <w:pPr>
        <w:spacing w:before="140" w:after="40"/>
      </w:pPr>
      <w:r>
        <w:rPr>
          <w:b/>
          <w:bCs/>
        </w:rPr>
        <w:t xml:space="preserve">Cenário: Usuário sem permissão de consulta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meu perfil não tem permissão para consultar avaliações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tento abrir o detalhe da avaliação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bloqueia e exibe "Você não tem permissão para esta ação."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Telas do protótipo navegável desta funcionalidade. São desenho de referência — guiam a intenção, não substituem as regras de negócio.</w:t>
      </w:r>
    </w:p>
    <w:p>
      <w:pPr>
        <w:rPr>
          <w:b/>
          <w:bCs/>
        </w:rPr>
      </w:pPr>
      <w:r>
        <w:rPr>
          <w:b/>
          <w:bCs/>
        </w:rPr>
        <w:t xml:space="preserve">Avaliações por Etapa (1 de 2)</w:t>
      </w:r>
    </w:p>
    <w:p>
      <w:pPr>
        <w:jc w:val="center"/>
      </w:pPr>
      <w:r>
        <w:drawing>
          <wp:inline distT="0" distB="0" distL="0" distR="0">
            <wp:extent cx="5852160" cy="3314700"/>
            <wp:effectExtent l="0" t="0" r="0" b="0"/>
            <wp:docPr id="205" name="Avaliações por Etapa (1 de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Avaliações por Etapa (1 de 2)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b/>
          <w:bCs/>
        </w:rPr>
      </w:pPr>
      <w:r>
        <w:rPr>
          <w:b/>
          <w:bCs/>
        </w:rPr>
        <w:t xml:space="preserve">Avaliações por Etapa (2 de 2)</w:t>
      </w:r>
    </w:p>
    <w:p>
      <w:pPr>
        <w:jc w:val="center"/>
      </w:pPr>
      <w:r>
        <w:drawing>
          <wp:inline distT="0" distB="0" distL="0" distR="0">
            <wp:extent cx="5852160" cy="3310128"/>
            <wp:effectExtent l="0" t="0" r="0" b="0"/>
            <wp:docPr id="206" name="Avaliações por Etapa (2 de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Avaliações por Etapa (2 de 2)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1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46"/>
        <w:gridCol w:w="1274"/>
        <w:gridCol w:w="1717"/>
        <w:gridCol w:w="1029"/>
        <w:gridCol w:w="790"/>
        <w:gridCol w:w="1432"/>
        <w:gridCol w:w="1740"/>
      </w:tblGrid>
      <w:tr>
        <w:trPr>
          <w:tblHeader/>
        </w:trPr>
        <w:tc>
          <w:tcPr>
            <w:tcW w:w="1646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274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Entidade</w:t>
            </w:r>
          </w:p>
        </w:tc>
        <w:tc>
          <w:tcPr>
            <w:tcW w:w="1717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029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79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432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174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646" w:type="dxa"/>
            <w:vAlign w:val="center"/>
          </w:tcPr>
          <w:p>
            <w:pPr>
              <w:spacing w:before="0" w:after="0"/>
            </w:pPr>
            <w:r>
              <w:t xml:space="preserve">Identificação do participante</w:t>
            </w:r>
          </w:p>
        </w:tc>
        <w:tc>
          <w:tcPr>
            <w:tcW w:w="1274" w:type="dxa"/>
            <w:vAlign w:val="center"/>
          </w:tcPr>
          <w:p>
            <w:pPr>
              <w:spacing w:before="0" w:after="0"/>
            </w:pPr>
            <w:r>
              <w:t xml:space="preserve">Inscrição</w:t>
            </w:r>
          </w:p>
        </w:tc>
        <w:tc>
          <w:tcPr>
            <w:tcW w:w="1717" w:type="dxa"/>
            <w:vAlign w:val="center"/>
          </w:tcPr>
          <w:p>
            <w:pPr>
              <w:spacing w:before="0" w:after="0"/>
            </w:pPr>
            <w:r>
              <w:t xml:space="preserve">exibido do cadastro</w:t>
            </w:r>
          </w:p>
        </w:tc>
        <w:tc>
          <w:tcPr>
            <w:tcW w:w="1029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790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432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740" w:type="dxa"/>
            <w:vAlign w:val="center"/>
          </w:tcPr>
          <w:p>
            <w:pPr>
              <w:spacing w:before="0" w:after="0"/>
            </w:pPr>
            <w:r>
              <w:t xml:space="preserve">identificador · protocolo, ou só o protocolo quando não há identificador</w:t>
            </w:r>
          </w:p>
        </w:tc>
      </w:tr>
      <w:tr>
        <w:tc>
          <w:tcPr>
            <w:tcW w:w="1646" w:type="dxa"/>
            <w:vAlign w:val="center"/>
          </w:tcPr>
          <w:p>
            <w:pPr>
              <w:spacing w:before="0" w:after="0"/>
            </w:pPr>
            <w:r>
              <w:t xml:space="preserve">Premiação</w:t>
            </w:r>
          </w:p>
        </w:tc>
        <w:tc>
          <w:tcPr>
            <w:tcW w:w="1274" w:type="dxa"/>
            <w:vAlign w:val="center"/>
          </w:tcPr>
          <w:p>
            <w:pPr>
              <w:spacing w:before="0" w:after="0"/>
            </w:pPr>
            <w:r>
              <w:t xml:space="preserve">Premiação</w:t>
            </w:r>
          </w:p>
        </w:tc>
        <w:tc>
          <w:tcPr>
            <w:tcW w:w="1717" w:type="dxa"/>
            <w:vAlign w:val="center"/>
          </w:tcPr>
          <w:p>
            <w:pPr>
              <w:spacing w:before="0" w:after="0"/>
            </w:pPr>
            <w:r>
              <w:t xml:space="preserve">exibido do cadastro</w:t>
            </w:r>
          </w:p>
        </w:tc>
        <w:tc>
          <w:tcPr>
            <w:tcW w:w="1029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790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432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740" w:type="dxa"/>
            <w:vAlign w:val="center"/>
          </w:tcPr>
          <w:p>
            <w:pPr>
              <w:spacing w:before="0" w:after="0"/>
            </w:pPr>
            <w:r>
              <w:t xml:space="preserve">premiação da inscrição</w:t>
            </w:r>
          </w:p>
        </w:tc>
      </w:tr>
      <w:tr>
        <w:tc>
          <w:tcPr>
            <w:tcW w:w="1646" w:type="dxa"/>
            <w:vAlign w:val="center"/>
          </w:tcPr>
          <w:p>
            <w:pPr>
              <w:spacing w:before="0" w:after="0"/>
            </w:pPr>
            <w:r>
              <w:t xml:space="preserve">Categoria</w:t>
            </w:r>
          </w:p>
        </w:tc>
        <w:tc>
          <w:tcPr>
            <w:tcW w:w="1274" w:type="dxa"/>
            <w:vAlign w:val="center"/>
          </w:tcPr>
          <w:p>
            <w:pPr>
              <w:spacing w:before="0" w:after="0"/>
            </w:pPr>
            <w:r>
              <w:t xml:space="preserve">Categoria</w:t>
            </w:r>
          </w:p>
        </w:tc>
        <w:tc>
          <w:tcPr>
            <w:tcW w:w="1717" w:type="dxa"/>
            <w:vAlign w:val="center"/>
          </w:tcPr>
          <w:p>
            <w:pPr>
              <w:spacing w:before="0" w:after="0"/>
            </w:pPr>
            <w:r>
              <w:t xml:space="preserve">exibido do cadastro</w:t>
            </w:r>
          </w:p>
        </w:tc>
        <w:tc>
          <w:tcPr>
            <w:tcW w:w="1029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790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432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740" w:type="dxa"/>
            <w:vAlign w:val="center"/>
          </w:tcPr>
          <w:p>
            <w:pPr>
              <w:spacing w:before="0" w:after="0"/>
            </w:pPr>
            <w:r>
              <w:t xml:space="preserve">apenas quando preenchida na inscrição</w:t>
            </w:r>
          </w:p>
        </w:tc>
      </w:tr>
      <w:tr>
        <w:tc>
          <w:tcPr>
            <w:tcW w:w="1646" w:type="dxa"/>
            <w:vAlign w:val="center"/>
          </w:tcPr>
          <w:p>
            <w:pPr>
              <w:spacing w:before="0" w:after="0"/>
            </w:pPr>
            <w:r>
              <w:t xml:space="preserve">Modalidade</w:t>
            </w:r>
          </w:p>
        </w:tc>
        <w:tc>
          <w:tcPr>
            <w:tcW w:w="1274" w:type="dxa"/>
            <w:vAlign w:val="center"/>
          </w:tcPr>
          <w:p>
            <w:pPr>
              <w:spacing w:before="0" w:after="0"/>
            </w:pPr>
            <w:r>
              <w:t xml:space="preserve">Modalidade</w:t>
            </w:r>
          </w:p>
        </w:tc>
        <w:tc>
          <w:tcPr>
            <w:tcW w:w="1717" w:type="dxa"/>
            <w:vAlign w:val="center"/>
          </w:tcPr>
          <w:p>
            <w:pPr>
              <w:spacing w:before="0" w:after="0"/>
            </w:pPr>
            <w:r>
              <w:t xml:space="preserve">exibido do cadastro</w:t>
            </w:r>
          </w:p>
        </w:tc>
        <w:tc>
          <w:tcPr>
            <w:tcW w:w="1029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790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432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740" w:type="dxa"/>
            <w:vAlign w:val="center"/>
          </w:tcPr>
          <w:p>
            <w:pPr>
              <w:spacing w:before="0" w:after="0"/>
            </w:pPr>
            <w:r>
              <w:t xml:space="preserve">apenas quando preenchida na inscrição</w:t>
            </w:r>
          </w:p>
        </w:tc>
      </w:tr>
      <w:tr>
        <w:tc>
          <w:tcPr>
            <w:tcW w:w="1646" w:type="dxa"/>
            <w:vAlign w:val="center"/>
          </w:tcPr>
          <w:p>
            <w:pPr>
              <w:spacing w:before="0" w:after="0"/>
            </w:pPr>
            <w:r>
              <w:t xml:space="preserve">Etapa atual</w:t>
            </w:r>
          </w:p>
        </w:tc>
        <w:tc>
          <w:tcPr>
            <w:tcW w:w="1274" w:type="dxa"/>
            <w:vAlign w:val="center"/>
          </w:tcPr>
          <w:p>
            <w:pPr>
              <w:spacing w:before="0" w:after="0"/>
            </w:pPr>
            <w:r>
              <w:t xml:space="preserve">Etapa</w:t>
            </w:r>
          </w:p>
        </w:tc>
        <w:tc>
          <w:tcPr>
            <w:tcW w:w="1717" w:type="dxa"/>
            <w:vAlign w:val="center"/>
          </w:tcPr>
          <w:p>
            <w:pPr>
              <w:spacing w:before="0" w:after="0"/>
            </w:pPr>
            <w:r>
              <w:t xml:space="preserve">exibido do cadastro</w:t>
            </w:r>
          </w:p>
        </w:tc>
        <w:tc>
          <w:tcPr>
            <w:tcW w:w="1029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790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432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740" w:type="dxa"/>
            <w:vAlign w:val="center"/>
          </w:tcPr>
          <w:p>
            <w:pPr>
              <w:spacing w:before="0" w:after="0"/>
            </w:pPr>
            <w:r>
              <w:t xml:space="preserve">ordem e nome da etapa</w:t>
            </w:r>
          </w:p>
        </w:tc>
      </w:tr>
      <w:tr>
        <w:tc>
          <w:tcPr>
            <w:tcW w:w="1646" w:type="dxa"/>
            <w:vAlign w:val="center"/>
          </w:tcPr>
          <w:p>
            <w:pPr>
              <w:spacing w:before="0" w:after="0"/>
            </w:pPr>
            <w:r>
              <w:t xml:space="preserve">Avaliadores (finalizados / alocados)</w:t>
            </w:r>
          </w:p>
        </w:tc>
        <w:tc>
          <w:tcPr>
            <w:tcW w:w="1274" w:type="dxa"/>
            <w:vAlign w:val="center"/>
          </w:tcPr>
          <w:p>
            <w:pPr>
              <w:spacing w:before="0" w:after="0"/>
            </w:pPr>
            <w:r>
              <w:t xml:space="preserve">derivado ↓</w:t>
            </w:r>
          </w:p>
        </w:tc>
        <w:tc>
          <w:tcPr>
            <w:tcW w:w="1717" w:type="dxa"/>
            <w:vAlign w:val="center"/>
          </w:tcPr>
          <w:p>
            <w:pPr>
              <w:spacing w:before="0" w:after="0"/>
            </w:pPr>
            <w:r>
              <w:t xml:space="preserve">calculado</w:t>
            </w:r>
          </w:p>
        </w:tc>
        <w:tc>
          <w:tcPr>
            <w:tcW w:w="1029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790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432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740" w:type="dxa"/>
            <w:vAlign w:val="center"/>
          </w:tcPr>
          <w:p>
            <w:pPr>
              <w:spacing w:before="0" w:after="0"/>
            </w:pPr>
            <w:r>
              <w:t xml:space="preserve">indica se todos finalizaram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Exportar Relatório de Avaliadores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Entrega em planilha o acompanhamento das avaliações por avaliador — quantas cada um tem alocadas, a iniciar, em andamento e finalizadas, e a lista de avaliações que sustenta esses números — para cobrança e acompanhamento fora do sistema.</w:t>
      </w:r>
    </w:p>
    <w:p>
      <w:r>
        <w:t xml:space="preserve">No Painel de Avaliações, depois de aplicar os filtros da consulta, o administrador aciona a exportação e recebe para download a planilha com o resumo por avaliador e a lista das avaliações.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exportação usa exatamente os mesmos critérios da consulta que a originou. → ver AVL-PAI-01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exportação não é paginada: traz todas as avaliações do recorte.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relatório apresenta dois níveis: o total por avaliador e a lista das avaliações individuais.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Quando a premiação está configurada com avaliação às cegas, o identificador de acesso do avaliador é omitido do relatório.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Administrador Regional exporta apenas as avaliações das unidades federativas às quais está vinculado.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exportação é restrita aos perfis Administrador Nacional e Administrador Regional.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Cenário: Exportar o acompanhamento por avaliador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consultei o painel de avaliações com filtros aplicados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aciono a exportação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entrega uma planilha com o resumo por avaliador e a lista das avaliações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resumo traz, por avaliador, as quantidades alocadas, a iniciar, em andamento e finalizadas</w:t>
      </w:r>
    </w:p>
    <w:p>
      <w:pPr>
        <w:spacing w:before="140" w:after="40"/>
      </w:pPr>
      <w:r>
        <w:rPr>
          <w:b/>
          <w:bCs/>
        </w:rPr>
        <w:t xml:space="preserve">Cenário: Exportar com avaliação às cegas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premiação está configurada com avaliação às cegas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exporto o relatório de avaliadores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identificador de acesso do avaliador não aparece na planilha</w:t>
      </w:r>
    </w:p>
    <w:p>
      <w:pPr>
        <w:spacing w:before="140" w:after="40"/>
      </w:pPr>
      <w:r>
        <w:rPr>
          <w:b/>
          <w:bCs/>
        </w:rPr>
        <w:t xml:space="preserve">Cenário: Recorte sem avaliações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os filtros escolhidos não devolvem nenhuma avaliação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exporto o relatório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planilha é entregue sem linhas de avaliação</w:t>
      </w:r>
    </w:p>
    <w:p>
      <w:pPr>
        <w:spacing w:before="140" w:after="40"/>
      </w:pPr>
      <w:r>
        <w:rPr>
          <w:b/>
          <w:bCs/>
        </w:rPr>
        <w:t xml:space="preserve">Cenário: Avaliador tenta exportar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estou autenticado como Avaliador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tento exportar o relatório de avaliadores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nega a operação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Telas do protótipo navegável desta funcionalidade. São desenho de referência — guiam a intenção, não substituem as regras de negócio.</w:t>
      </w:r>
    </w:p>
    <w:p>
      <w:pPr>
        <w:rPr>
          <w:b/>
          <w:bCs/>
        </w:rPr>
      </w:pPr>
      <w:r>
        <w:rPr>
          <w:b/>
          <w:bCs/>
        </w:rPr>
        <w:t xml:space="preserve">Planilha de avaliadores (1 de 2)</w:t>
      </w:r>
    </w:p>
    <w:p>
      <w:pPr>
        <w:jc w:val="center"/>
      </w:pPr>
      <w:r>
        <w:drawing>
          <wp:inline distT="0" distB="0" distL="0" distR="0">
            <wp:extent cx="5852160" cy="6377940"/>
            <wp:effectExtent l="0" t="0" r="0" b="0"/>
            <wp:docPr id="207" name="Planilha de avaliadores (1 de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lanilha de avaliadores (1 de 2)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37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b/>
          <w:bCs/>
        </w:rPr>
      </w:pPr>
      <w:r>
        <w:rPr>
          <w:b/>
          <w:bCs/>
        </w:rPr>
        <w:t xml:space="preserve">Planilha de avaliadores (2 de 2)</w:t>
      </w:r>
    </w:p>
    <w:p>
      <w:pPr>
        <w:jc w:val="center"/>
      </w:pPr>
      <w:r>
        <w:drawing>
          <wp:inline distT="0" distB="0" distL="0" distR="0">
            <wp:extent cx="5852160" cy="6377940"/>
            <wp:effectExtent l="0" t="0" r="0" b="0"/>
            <wp:docPr id="208" name="Planilha de avaliadores (2 de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lanilha de avaliadores (2 de 2)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37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96"/>
        <w:gridCol w:w="1338"/>
        <w:gridCol w:w="1738"/>
        <w:gridCol w:w="1052"/>
        <w:gridCol w:w="1415"/>
        <w:gridCol w:w="1444"/>
        <w:gridCol w:w="1445"/>
      </w:tblGrid>
      <w:tr>
        <w:trPr>
          <w:tblHeader/>
        </w:trPr>
        <w:tc>
          <w:tcPr>
            <w:tcW w:w="1196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3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Entidade</w:t>
            </w:r>
          </w:p>
        </w:tc>
        <w:tc>
          <w:tcPr>
            <w:tcW w:w="173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052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41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444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144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196" w:type="dxa"/>
            <w:vAlign w:val="center"/>
          </w:tcPr>
          <w:p>
            <w:pPr>
              <w:spacing w:before="0" w:after="0"/>
            </w:pPr>
            <w:r>
              <w:t xml:space="preserve">Premiação</w:t>
            </w:r>
          </w:p>
        </w:tc>
        <w:tc>
          <w:tcPr>
            <w:tcW w:w="1338" w:type="dxa"/>
            <w:vAlign w:val="center"/>
          </w:tcPr>
          <w:p>
            <w:pPr>
              <w:spacing w:before="0" w:after="0"/>
            </w:pPr>
            <w:r>
              <w:t xml:space="preserve">Premiação</w:t>
            </w:r>
          </w:p>
        </w:tc>
        <w:tc>
          <w:tcPr>
            <w:tcW w:w="1738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052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1415" w:type="dxa"/>
            <w:vAlign w:val="center"/>
          </w:tcPr>
          <w:p>
            <w:pPr>
              <w:spacing w:before="0" w:after="0"/>
            </w:pPr>
            <w:r>
              <w:t xml:space="preserve">seleção → Premiação</w:t>
            </w:r>
          </w:p>
        </w:tc>
        <w:tc>
          <w:tcPr>
            <w:tcW w:w="1444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445" w:type="dxa"/>
            <w:vAlign w:val="center"/>
          </w:tcPr>
          <w:p>
            <w:pPr>
              <w:spacing w:before="0" w:after="0"/>
            </w:pPr>
            <w:r>
              <w:t xml:space="preserve">herdada da consulta que originou a exportação</w:t>
            </w:r>
          </w:p>
        </w:tc>
      </w:tr>
      <w:tr>
        <w:tc>
          <w:tcPr>
            <w:tcW w:w="1196" w:type="dxa"/>
            <w:vAlign w:val="center"/>
          </w:tcPr>
          <w:p>
            <w:pPr>
              <w:spacing w:before="0" w:after="0"/>
            </w:pPr>
            <w:r>
              <w:t xml:space="preserve">Etapa</w:t>
            </w:r>
          </w:p>
        </w:tc>
        <w:tc>
          <w:tcPr>
            <w:tcW w:w="1338" w:type="dxa"/>
            <w:vAlign w:val="center"/>
          </w:tcPr>
          <w:p>
            <w:pPr>
              <w:spacing w:before="0" w:after="0"/>
            </w:pPr>
            <w:r>
              <w:t xml:space="preserve">Etapa</w:t>
            </w:r>
          </w:p>
        </w:tc>
        <w:tc>
          <w:tcPr>
            <w:tcW w:w="1738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052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1415" w:type="dxa"/>
            <w:vAlign w:val="center"/>
          </w:tcPr>
          <w:p>
            <w:pPr>
              <w:spacing w:before="0" w:after="0"/>
            </w:pPr>
            <w:r>
              <w:t xml:space="preserve">seleção → Etapa</w:t>
            </w:r>
          </w:p>
        </w:tc>
        <w:tc>
          <w:tcPr>
            <w:tcW w:w="1444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445" w:type="dxa"/>
            <w:vAlign w:val="center"/>
          </w:tcPr>
          <w:p>
            <w:pPr>
              <w:spacing w:before="0" w:after="0"/>
            </w:pPr>
            <w:r>
              <w:t xml:space="preserve">herdada da consulta que originou a exportação</w:t>
            </w:r>
          </w:p>
        </w:tc>
      </w:tr>
      <w:tr>
        <w:tc>
          <w:tcPr>
            <w:tcW w:w="1196" w:type="dxa"/>
            <w:vAlign w:val="center"/>
          </w:tcPr>
          <w:p>
            <w:pPr>
              <w:spacing w:before="0" w:after="0"/>
            </w:pPr>
            <w:r>
              <w:t xml:space="preserve">Estado</w:t>
            </w:r>
          </w:p>
        </w:tc>
        <w:tc>
          <w:tcPr>
            <w:tcW w:w="1338" w:type="dxa"/>
            <w:vAlign w:val="center"/>
          </w:tcPr>
          <w:p>
            <w:pPr>
              <w:spacing w:before="0" w:after="0"/>
            </w:pPr>
            <w:r>
              <w:t xml:space="preserve">Unidade Federativa</w:t>
            </w:r>
          </w:p>
        </w:tc>
        <w:tc>
          <w:tcPr>
            <w:tcW w:w="1738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052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1415" w:type="dxa"/>
            <w:vAlign w:val="center"/>
          </w:tcPr>
          <w:p>
            <w:pPr>
              <w:spacing w:before="0" w:after="0"/>
            </w:pPr>
            <w:r>
              <w:t xml:space="preserve">seleção múltipla → Unidade Federativa</w:t>
            </w:r>
          </w:p>
        </w:tc>
        <w:tc>
          <w:tcPr>
            <w:tcW w:w="1444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445" w:type="dxa"/>
            <w:vAlign w:val="center"/>
          </w:tcPr>
          <w:p>
            <w:pPr>
              <w:spacing w:before="0" w:after="0"/>
            </w:pPr>
            <w:r>
              <w:t xml:space="preserve">herdado da consulta que originou a exportação</w:t>
            </w:r>
          </w:p>
        </w:tc>
      </w:tr>
      <w:tr>
        <w:tc>
          <w:tcPr>
            <w:tcW w:w="1196" w:type="dxa"/>
            <w:vAlign w:val="center"/>
          </w:tcPr>
          <w:p>
            <w:pPr>
              <w:spacing w:before="0" w:after="0"/>
            </w:pPr>
            <w:r>
              <w:t xml:space="preserve">Situação</w:t>
            </w:r>
          </w:p>
        </w:tc>
        <w:tc>
          <w:tcPr>
            <w:tcW w:w="1338" w:type="dxa"/>
            <w:vAlign w:val="center"/>
          </w:tcPr>
          <w:p>
            <w:pPr>
              <w:spacing w:before="0" w:after="0"/>
            </w:pPr>
            <w:r>
              <w:t xml:space="preserve">dado de código</w:t>
            </w:r>
          </w:p>
        </w:tc>
        <w:tc>
          <w:tcPr>
            <w:tcW w:w="1738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052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1415" w:type="dxa"/>
            <w:vAlign w:val="center"/>
          </w:tcPr>
          <w:p>
            <w:pPr>
              <w:spacing w:before="0" w:after="0"/>
            </w:pPr>
            <w:r>
              <w:t xml:space="preserve">lista de opções</w:t>
            </w:r>
          </w:p>
        </w:tc>
        <w:tc>
          <w:tcPr>
            <w:tcW w:w="1444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445" w:type="dxa"/>
            <w:vAlign w:val="center"/>
          </w:tcPr>
          <w:p>
            <w:pPr>
              <w:spacing w:before="0" w:after="0"/>
            </w:pPr>
            <w:r>
              <w:t xml:space="preserve">herdada da consulta que originou a exportação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Resumo por avaliador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uma linha por avaliador com as quantidades alocadas, a iniciar, em andamento e finalizadas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gerar a planilha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Detalhe das avaliações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uma linha por avaliação, com avaliador, unidade federativa, premiação, etapa, protocolo, participante, situação, início e finalização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gerar a planilha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Nome do arquivo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identificação do relatório de avaliadores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entregar a planilha</w:t>
            </w:r>
          </w:p>
        </w:tc>
      </w:tr>
    </w:tbl>
    <w:sectPr w:rsidR="001E6D4A" w:rsidSect="00D56ACC">
      <w:headerReference w:type="default" r:id="rId10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C6D6FC" w14:textId="77777777" w:rsidR="006959F2" w:rsidRPr="00D67374" w:rsidRDefault="006959F2" w:rsidP="00D56ACC">
      <w:pPr>
        <w:spacing w:before="0" w:after="0"/>
      </w:pPr>
      <w:r w:rsidRPr="00D67374">
        <w:separator/>
      </w:r>
    </w:p>
  </w:endnote>
  <w:endnote w:type="continuationSeparator" w:id="0">
    <w:p w14:paraId="54AEE234" w14:textId="77777777" w:rsidR="006959F2" w:rsidRPr="00D67374" w:rsidRDefault="006959F2" w:rsidP="00D56ACC">
      <w:pPr>
        <w:spacing w:before="0" w:after="0"/>
      </w:pPr>
      <w:r w:rsidRPr="00D6737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1936634" w14:textId="77777777" w:rsidR="006959F2" w:rsidRPr="00D67374" w:rsidRDefault="006959F2" w:rsidP="00D56ACC">
      <w:pPr>
        <w:spacing w:before="0" w:after="0"/>
      </w:pPr>
      <w:r w:rsidRPr="00D67374">
        <w:separator/>
      </w:r>
    </w:p>
  </w:footnote>
  <w:footnote w:type="continuationSeparator" w:id="0">
    <w:p w14:paraId="1E033F56" w14:textId="77777777" w:rsidR="006959F2" w:rsidRPr="00D67374" w:rsidRDefault="006959F2" w:rsidP="00D56ACC">
      <w:pPr>
        <w:spacing w:before="0" w:after="0"/>
      </w:pPr>
      <w:r w:rsidRPr="00D6737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76"/>
      <w:gridCol w:w="7088"/>
      <w:gridCol w:w="1274"/>
    </w:tblGrid>
    <w:tr w:rsidR="00965DCF" w:rsidRPr="00D67374" w14:paraId="65FE513C" w14:textId="77777777" w:rsidTr="00006846">
      <w:tc>
        <w:tcPr>
          <w:tcW w:w="1276" w:type="dxa"/>
        </w:tcPr>
        <w:p w14:paraId="6F947F09" w14:textId="1DA35F76" w:rsidR="00965DCF" w:rsidRPr="00D67374" w:rsidRDefault="00965DCF" w:rsidP="00D56ACC">
          <w:pPr>
            <w:pStyle w:val="SemEspaamento"/>
            <w:jc w:val="center"/>
            <w:rPr>
              <w:rFonts w:asciiTheme="majorHAnsi" w:hAnsiTheme="majorHAnsi"/>
              <w:lang w:val="pt-BR"/>
            </w:rPr>
          </w:pPr>
        </w:p>
      </w:tc>
      <w:tc>
        <w:tcPr>
          <w:tcW w:w="7088" w:type="dxa"/>
        </w:tcPr>
        <w:p w14:paraId="2EDA60E6" w14:textId="77777777" w:rsidR="00965DCF" w:rsidRPr="00D67374" w:rsidRDefault="00965DCF" w:rsidP="00D56ACC">
          <w:pPr>
            <w:pStyle w:val="SemEspaamento"/>
            <w:rPr>
              <w:rFonts w:asciiTheme="majorHAnsi" w:hAnsiTheme="majorHAnsi"/>
              <w:b/>
              <w:bCs/>
              <w:lang w:val="pt-BR"/>
            </w:rPr>
          </w:pPr>
        </w:p>
        <w:p w14:paraId="0AC42F4D" w14:textId="293B2B18" w:rsidR="00965DCF" w:rsidRPr="00D67374" w:rsidRDefault="00A75029" w:rsidP="009F0670">
          <w:pPr>
            <w:pStyle w:val="SemEspaamento"/>
            <w:jc w:val="center"/>
            <w:rPr>
              <w:rFonts w:asciiTheme="majorHAnsi" w:hAnsiTheme="majorHAnsi"/>
              <w:b/>
              <w:bCs/>
              <w:lang w:val="pt-BR"/>
            </w:rPr>
          </w:pPr>
          <w:r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PIEL</w:t>
          </w:r>
          <w:r w:rsidR="00965DCF" w:rsidRPr="00D67374"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 xml:space="preserve"> – </w:t>
          </w:r>
          <w:r w:rsidR="00952A36"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Prêmio IEL</w:t>
          </w:r>
        </w:p>
      </w:tc>
      <w:tc>
        <w:tcPr>
          <w:tcW w:w="1274" w:type="dxa"/>
        </w:tcPr>
        <w:p w14:paraId="235744FD" w14:textId="77777777" w:rsidR="00965DCF" w:rsidRPr="00D67374" w:rsidRDefault="00965DCF" w:rsidP="00D56ACC">
          <w:pPr>
            <w:pStyle w:val="SemEspaamento"/>
            <w:jc w:val="center"/>
            <w:rPr>
              <w:rFonts w:asciiTheme="majorHAnsi" w:hAnsiTheme="majorHAnsi"/>
              <w:lang w:val="pt-BR"/>
            </w:rPr>
          </w:pPr>
          <w:r w:rsidRPr="00D67374">
            <w:rPr>
              <w:rFonts w:asciiTheme="majorHAnsi" w:eastAsiaTheme="majorEastAsia" w:hAnsiTheme="majorHAnsi" w:cstheme="majorBidi"/>
              <w:noProof/>
              <w:sz w:val="80"/>
              <w:szCs w:val="80"/>
              <w:lang w:val="pt-BR" w:eastAsia="pt-BR"/>
            </w:rPr>
            <w:drawing>
              <wp:inline distT="0" distB="0" distL="0" distR="0" wp14:anchorId="35BA8A21" wp14:editId="5051E6EF">
                <wp:extent cx="911991" cy="628650"/>
                <wp:effectExtent l="0" t="0" r="2540" b="0"/>
                <wp:docPr id="4" name="Imagem 4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Logotipo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240"/>
                        <a:stretch/>
                      </pic:blipFill>
                      <pic:spPr bwMode="auto">
                        <a:xfrm>
                          <a:off x="0" y="0"/>
                          <a:ext cx="939727" cy="647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79589E37" w14:textId="77777777" w:rsidR="00965DCF" w:rsidRPr="00D67374" w:rsidRDefault="00965DC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472B49"/>
    <w:multiLevelType w:val="hybridMultilevel"/>
    <w:tmpl w:val="74B6F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A2F53"/>
    <w:multiLevelType w:val="hybridMultilevel"/>
    <w:tmpl w:val="870C384A"/>
    <w:lvl w:ilvl="0" w:tplc="EB2EE234">
      <w:start w:val="1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13486991"/>
    <w:multiLevelType w:val="hybridMultilevel"/>
    <w:tmpl w:val="EA6836C6"/>
    <w:lvl w:ilvl="0" w:tplc="AF40D98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415CE"/>
    <w:multiLevelType w:val="hybridMultilevel"/>
    <w:tmpl w:val="5894A2B2"/>
    <w:lvl w:ilvl="0" w:tplc="41D04B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62B4D"/>
    <w:multiLevelType w:val="hybridMultilevel"/>
    <w:tmpl w:val="E56AA3A0"/>
    <w:lvl w:ilvl="0" w:tplc="7996FD80">
      <w:start w:val="1"/>
      <w:numFmt w:val="bullet"/>
      <w:lvlText w:val="-"/>
      <w:lvlJc w:val="left"/>
      <w:pPr>
        <w:ind w:left="76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16143AAC"/>
    <w:multiLevelType w:val="multilevel"/>
    <w:tmpl w:val="4DB482A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65E38A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94D613D"/>
    <w:multiLevelType w:val="hybridMultilevel"/>
    <w:tmpl w:val="60F2A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C4849"/>
    <w:multiLevelType w:val="multilevel"/>
    <w:tmpl w:val="DE5A9D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2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4C3739A"/>
    <w:multiLevelType w:val="multilevel"/>
    <w:tmpl w:val="696C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C6EFA"/>
    <w:multiLevelType w:val="hybridMultilevel"/>
    <w:tmpl w:val="996A12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6A5F6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FB56241"/>
    <w:multiLevelType w:val="hybridMultilevel"/>
    <w:tmpl w:val="F7982958"/>
    <w:lvl w:ilvl="0" w:tplc="2D7068A4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3" w15:restartNumberingAfterBreak="0">
    <w:nsid w:val="327F6018"/>
    <w:multiLevelType w:val="hybridMultilevel"/>
    <w:tmpl w:val="F3E4FD02"/>
    <w:lvl w:ilvl="0" w:tplc="22380E6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5B62AE"/>
    <w:multiLevelType w:val="hybridMultilevel"/>
    <w:tmpl w:val="E6F49C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2401E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1BB7764"/>
    <w:multiLevelType w:val="hybridMultilevel"/>
    <w:tmpl w:val="1DD829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5F64AA"/>
    <w:multiLevelType w:val="hybridMultilevel"/>
    <w:tmpl w:val="C638FC20"/>
    <w:lvl w:ilvl="0" w:tplc="93720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925F5C"/>
    <w:multiLevelType w:val="multilevel"/>
    <w:tmpl w:val="3F24BA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MSG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B860FBF"/>
    <w:multiLevelType w:val="multilevel"/>
    <w:tmpl w:val="825C7BA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C8001A9"/>
    <w:multiLevelType w:val="multilevel"/>
    <w:tmpl w:val="A65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38510F"/>
    <w:multiLevelType w:val="hybridMultilevel"/>
    <w:tmpl w:val="88BE8B60"/>
    <w:lvl w:ilvl="0" w:tplc="A22E26BE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2" w15:restartNumberingAfterBreak="0">
    <w:nsid w:val="55660074"/>
    <w:multiLevelType w:val="hybridMultilevel"/>
    <w:tmpl w:val="698C89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0E0E60"/>
    <w:multiLevelType w:val="multilevel"/>
    <w:tmpl w:val="4FB8A5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57E37308"/>
    <w:multiLevelType w:val="hybridMultilevel"/>
    <w:tmpl w:val="335A7F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DD029E"/>
    <w:multiLevelType w:val="hybridMultilevel"/>
    <w:tmpl w:val="AC5CE44A"/>
    <w:lvl w:ilvl="0" w:tplc="A168A8E8">
      <w:start w:val="1"/>
      <w:numFmt w:val="decimalZero"/>
      <w:lvlText w:val="RN0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FBB5F4E"/>
    <w:multiLevelType w:val="hybridMultilevel"/>
    <w:tmpl w:val="FF46C6B6"/>
    <w:lvl w:ilvl="0" w:tplc="286AD80C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7D4C03"/>
    <w:multiLevelType w:val="multilevel"/>
    <w:tmpl w:val="A4A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B10BA7"/>
    <w:multiLevelType w:val="multilevel"/>
    <w:tmpl w:val="6C7C4BB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9" w15:restartNumberingAfterBreak="0">
    <w:nsid w:val="688804DF"/>
    <w:multiLevelType w:val="hybridMultilevel"/>
    <w:tmpl w:val="16588E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E94BDB"/>
    <w:multiLevelType w:val="hybridMultilevel"/>
    <w:tmpl w:val="9662DA9A"/>
    <w:lvl w:ilvl="0" w:tplc="2D7068A4">
      <w:start w:val="1"/>
      <w:numFmt w:val="bullet"/>
      <w:lvlText w:val="-"/>
      <w:lvlJc w:val="left"/>
      <w:pPr>
        <w:ind w:left="189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1" w15:restartNumberingAfterBreak="0">
    <w:nsid w:val="6DF50F05"/>
    <w:multiLevelType w:val="hybridMultilevel"/>
    <w:tmpl w:val="97681A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833B47"/>
    <w:multiLevelType w:val="hybridMultilevel"/>
    <w:tmpl w:val="0B7836C2"/>
    <w:lvl w:ilvl="0" w:tplc="582AA3D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6B65CA"/>
    <w:multiLevelType w:val="multilevel"/>
    <w:tmpl w:val="786B65CA"/>
    <w:lvl w:ilvl="0">
      <w:start w:val="1"/>
      <w:numFmt w:val="decimal"/>
      <w:pStyle w:val="AxureHeading1"/>
      <w:suff w:val="space"/>
      <w:lvlText w:val="%1."/>
      <w:lvlJc w:val="left"/>
      <w:pPr>
        <w:tabs>
          <w:tab w:val="left" w:pos="360"/>
        </w:tabs>
        <w:ind w:left="0" w:firstLine="0"/>
      </w:pPr>
    </w:lvl>
    <w:lvl w:ilvl="1">
      <w:start w:val="1"/>
      <w:numFmt w:val="decimal"/>
      <w:pStyle w:val="AxureHeading2"/>
      <w:suff w:val="space"/>
      <w:lvlText w:val="%1.%2."/>
      <w:lvlJc w:val="left"/>
      <w:pPr>
        <w:tabs>
          <w:tab w:val="left" w:pos="792"/>
        </w:tabs>
        <w:ind w:left="0" w:firstLine="0"/>
      </w:pPr>
    </w:lvl>
    <w:lvl w:ilvl="2">
      <w:start w:val="1"/>
      <w:numFmt w:val="decimal"/>
      <w:pStyle w:val="AxureHeading3"/>
      <w:suff w:val="space"/>
      <w:lvlText w:val="%1.%2.%3."/>
      <w:lvlJc w:val="left"/>
      <w:pPr>
        <w:tabs>
          <w:tab w:val="left" w:pos="1440"/>
        </w:tabs>
        <w:ind w:left="0" w:firstLine="0"/>
      </w:pPr>
    </w:lvl>
    <w:lvl w:ilvl="3">
      <w:start w:val="1"/>
      <w:numFmt w:val="decimal"/>
      <w:pStyle w:val="AxureHeading4"/>
      <w:suff w:val="space"/>
      <w:lvlText w:val="%1.%2.%3.%4."/>
      <w:lvlJc w:val="left"/>
      <w:pPr>
        <w:tabs>
          <w:tab w:val="left" w:pos="1800"/>
        </w:tabs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tabs>
          <w:tab w:val="left" w:pos="252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left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680"/>
        </w:tabs>
        <w:ind w:left="4320" w:hanging="1440"/>
      </w:pPr>
    </w:lvl>
  </w:abstractNum>
  <w:abstractNum w:abstractNumId="34" w15:restartNumberingAfterBreak="0">
    <w:nsid w:val="798404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F437601"/>
    <w:multiLevelType w:val="hybridMultilevel"/>
    <w:tmpl w:val="2A2C2EB8"/>
    <w:lvl w:ilvl="0" w:tplc="988245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6105D3"/>
    <w:multiLevelType w:val="hybridMultilevel"/>
    <w:tmpl w:val="8E861852"/>
    <w:lvl w:ilvl="0" w:tplc="3762165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647821">
    <w:abstractNumId w:val="10"/>
  </w:num>
  <w:num w:numId="2" w16cid:durableId="1668510538">
    <w:abstractNumId w:val="0"/>
  </w:num>
  <w:num w:numId="3" w16cid:durableId="1792360348">
    <w:abstractNumId w:val="7"/>
  </w:num>
  <w:num w:numId="4" w16cid:durableId="1255626486">
    <w:abstractNumId w:val="28"/>
  </w:num>
  <w:num w:numId="5" w16cid:durableId="1226136765">
    <w:abstractNumId w:val="5"/>
  </w:num>
  <w:num w:numId="6" w16cid:durableId="1964921731">
    <w:abstractNumId w:val="23"/>
  </w:num>
  <w:num w:numId="7" w16cid:durableId="2030062821">
    <w:abstractNumId w:val="22"/>
  </w:num>
  <w:num w:numId="8" w16cid:durableId="892352782">
    <w:abstractNumId w:val="24"/>
  </w:num>
  <w:num w:numId="9" w16cid:durableId="1183325656">
    <w:abstractNumId w:val="19"/>
  </w:num>
  <w:num w:numId="10" w16cid:durableId="2060594855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13399688">
    <w:abstractNumId w:val="3"/>
  </w:num>
  <w:num w:numId="12" w16cid:durableId="1622762323">
    <w:abstractNumId w:val="17"/>
  </w:num>
  <w:num w:numId="13" w16cid:durableId="1779182836">
    <w:abstractNumId w:val="35"/>
  </w:num>
  <w:num w:numId="14" w16cid:durableId="1336765004">
    <w:abstractNumId w:val="31"/>
  </w:num>
  <w:num w:numId="15" w16cid:durableId="1766145936">
    <w:abstractNumId w:val="34"/>
  </w:num>
  <w:num w:numId="16" w16cid:durableId="782699512">
    <w:abstractNumId w:val="6"/>
  </w:num>
  <w:num w:numId="17" w16cid:durableId="292174291">
    <w:abstractNumId w:val="18"/>
  </w:num>
  <w:num w:numId="18" w16cid:durableId="374045593">
    <w:abstractNumId w:val="29"/>
  </w:num>
  <w:num w:numId="19" w16cid:durableId="1553687942">
    <w:abstractNumId w:val="11"/>
  </w:num>
  <w:num w:numId="20" w16cid:durableId="2027173910">
    <w:abstractNumId w:val="8"/>
  </w:num>
  <w:num w:numId="21" w16cid:durableId="532110992">
    <w:abstractNumId w:val="25"/>
  </w:num>
  <w:num w:numId="22" w16cid:durableId="1972704902">
    <w:abstractNumId w:val="26"/>
  </w:num>
  <w:num w:numId="23" w16cid:durableId="129518483">
    <w:abstractNumId w:val="2"/>
  </w:num>
  <w:num w:numId="24" w16cid:durableId="1425951831">
    <w:abstractNumId w:val="21"/>
  </w:num>
  <w:num w:numId="25" w16cid:durableId="1423332746">
    <w:abstractNumId w:val="36"/>
  </w:num>
  <w:num w:numId="26" w16cid:durableId="1328896683">
    <w:abstractNumId w:val="1"/>
  </w:num>
  <w:num w:numId="27" w16cid:durableId="491601716">
    <w:abstractNumId w:val="13"/>
  </w:num>
  <w:num w:numId="28" w16cid:durableId="846018116">
    <w:abstractNumId w:val="32"/>
  </w:num>
  <w:num w:numId="29" w16cid:durableId="573206055">
    <w:abstractNumId w:val="4"/>
  </w:num>
  <w:num w:numId="30" w16cid:durableId="1555048155">
    <w:abstractNumId w:val="12"/>
  </w:num>
  <w:num w:numId="31" w16cid:durableId="1467115169">
    <w:abstractNumId w:val="30"/>
  </w:num>
  <w:num w:numId="32" w16cid:durableId="912356916">
    <w:abstractNumId w:val="9"/>
  </w:num>
  <w:num w:numId="33" w16cid:durableId="542333674">
    <w:abstractNumId w:val="27"/>
  </w:num>
  <w:num w:numId="34" w16cid:durableId="1636447362">
    <w:abstractNumId w:val="20"/>
  </w:num>
  <w:num w:numId="35" w16cid:durableId="1698234582">
    <w:abstractNumId w:val="14"/>
  </w:num>
  <w:num w:numId="36" w16cid:durableId="1115908638">
    <w:abstractNumId w:val="16"/>
  </w:num>
  <w:num w:numId="37" w16cid:durableId="954563035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E0A"/>
    <w:rsid w:val="000010DD"/>
    <w:rsid w:val="00001960"/>
    <w:rsid w:val="00006846"/>
    <w:rsid w:val="0001542B"/>
    <w:rsid w:val="00020895"/>
    <w:rsid w:val="00030C5F"/>
    <w:rsid w:val="0003308E"/>
    <w:rsid w:val="00044A24"/>
    <w:rsid w:val="000663C0"/>
    <w:rsid w:val="000A411A"/>
    <w:rsid w:val="000B4622"/>
    <w:rsid w:val="000E0B86"/>
    <w:rsid w:val="000E2333"/>
    <w:rsid w:val="00107C05"/>
    <w:rsid w:val="001257B7"/>
    <w:rsid w:val="00145F0D"/>
    <w:rsid w:val="00153720"/>
    <w:rsid w:val="00154BE4"/>
    <w:rsid w:val="001635D9"/>
    <w:rsid w:val="00176647"/>
    <w:rsid w:val="0019256B"/>
    <w:rsid w:val="0019359F"/>
    <w:rsid w:val="001A22F5"/>
    <w:rsid w:val="001A77E2"/>
    <w:rsid w:val="001B6BE1"/>
    <w:rsid w:val="001B7CBE"/>
    <w:rsid w:val="001C2BC9"/>
    <w:rsid w:val="001C314E"/>
    <w:rsid w:val="001E0D48"/>
    <w:rsid w:val="001E3EB0"/>
    <w:rsid w:val="001E6942"/>
    <w:rsid w:val="001E6D4A"/>
    <w:rsid w:val="001F40D6"/>
    <w:rsid w:val="001F502A"/>
    <w:rsid w:val="00200ABF"/>
    <w:rsid w:val="00206157"/>
    <w:rsid w:val="002257F6"/>
    <w:rsid w:val="0023399F"/>
    <w:rsid w:val="00242DDF"/>
    <w:rsid w:val="00250F4E"/>
    <w:rsid w:val="00251A8D"/>
    <w:rsid w:val="002552D9"/>
    <w:rsid w:val="002624F7"/>
    <w:rsid w:val="0027020C"/>
    <w:rsid w:val="00273E5E"/>
    <w:rsid w:val="00276842"/>
    <w:rsid w:val="00291632"/>
    <w:rsid w:val="00295DE2"/>
    <w:rsid w:val="00296044"/>
    <w:rsid w:val="002A46BF"/>
    <w:rsid w:val="002A55DC"/>
    <w:rsid w:val="002A5682"/>
    <w:rsid w:val="002A6A69"/>
    <w:rsid w:val="002B7661"/>
    <w:rsid w:val="002C32DA"/>
    <w:rsid w:val="002D6135"/>
    <w:rsid w:val="002F5F66"/>
    <w:rsid w:val="00303498"/>
    <w:rsid w:val="00306F74"/>
    <w:rsid w:val="00330DF0"/>
    <w:rsid w:val="003330AA"/>
    <w:rsid w:val="003350C2"/>
    <w:rsid w:val="003510D7"/>
    <w:rsid w:val="00353C28"/>
    <w:rsid w:val="003679EE"/>
    <w:rsid w:val="00373C59"/>
    <w:rsid w:val="00394DF9"/>
    <w:rsid w:val="003A236A"/>
    <w:rsid w:val="003B12B3"/>
    <w:rsid w:val="003B49BD"/>
    <w:rsid w:val="003C4C47"/>
    <w:rsid w:val="003D437E"/>
    <w:rsid w:val="003D5A39"/>
    <w:rsid w:val="003E3E5C"/>
    <w:rsid w:val="003E409B"/>
    <w:rsid w:val="003F7B22"/>
    <w:rsid w:val="004136D4"/>
    <w:rsid w:val="0041475C"/>
    <w:rsid w:val="00416595"/>
    <w:rsid w:val="00417359"/>
    <w:rsid w:val="00424D72"/>
    <w:rsid w:val="00425084"/>
    <w:rsid w:val="00426B7D"/>
    <w:rsid w:val="00430175"/>
    <w:rsid w:val="0043057C"/>
    <w:rsid w:val="00430BC1"/>
    <w:rsid w:val="00431EC2"/>
    <w:rsid w:val="004327B8"/>
    <w:rsid w:val="004611A4"/>
    <w:rsid w:val="00462E49"/>
    <w:rsid w:val="00485097"/>
    <w:rsid w:val="00485CBE"/>
    <w:rsid w:val="00492A86"/>
    <w:rsid w:val="00493DB1"/>
    <w:rsid w:val="004A11AE"/>
    <w:rsid w:val="004A361B"/>
    <w:rsid w:val="004B268F"/>
    <w:rsid w:val="004B4910"/>
    <w:rsid w:val="004C2F85"/>
    <w:rsid w:val="004C311A"/>
    <w:rsid w:val="004D4C44"/>
    <w:rsid w:val="00503988"/>
    <w:rsid w:val="0050622C"/>
    <w:rsid w:val="00506A3C"/>
    <w:rsid w:val="00507547"/>
    <w:rsid w:val="00507803"/>
    <w:rsid w:val="005120E4"/>
    <w:rsid w:val="0051249D"/>
    <w:rsid w:val="0052030C"/>
    <w:rsid w:val="0052486A"/>
    <w:rsid w:val="005248A9"/>
    <w:rsid w:val="00526BE8"/>
    <w:rsid w:val="0053362E"/>
    <w:rsid w:val="0053628F"/>
    <w:rsid w:val="005531D1"/>
    <w:rsid w:val="0055350C"/>
    <w:rsid w:val="00582C1F"/>
    <w:rsid w:val="00590825"/>
    <w:rsid w:val="00596736"/>
    <w:rsid w:val="005A1499"/>
    <w:rsid w:val="005A22DF"/>
    <w:rsid w:val="005A3A97"/>
    <w:rsid w:val="005C13A7"/>
    <w:rsid w:val="005C242F"/>
    <w:rsid w:val="005C4539"/>
    <w:rsid w:val="005C4C7A"/>
    <w:rsid w:val="005D041F"/>
    <w:rsid w:val="005D6D70"/>
    <w:rsid w:val="005E423E"/>
    <w:rsid w:val="005E649B"/>
    <w:rsid w:val="005F2604"/>
    <w:rsid w:val="0061544A"/>
    <w:rsid w:val="00620CE6"/>
    <w:rsid w:val="00623635"/>
    <w:rsid w:val="0062467D"/>
    <w:rsid w:val="00656979"/>
    <w:rsid w:val="0066124C"/>
    <w:rsid w:val="00663718"/>
    <w:rsid w:val="00671186"/>
    <w:rsid w:val="00673FC1"/>
    <w:rsid w:val="00674A8B"/>
    <w:rsid w:val="006959F2"/>
    <w:rsid w:val="006971B7"/>
    <w:rsid w:val="006A2A81"/>
    <w:rsid w:val="006B651D"/>
    <w:rsid w:val="006D05E6"/>
    <w:rsid w:val="006D5E92"/>
    <w:rsid w:val="006E0D21"/>
    <w:rsid w:val="006E0E0A"/>
    <w:rsid w:val="006E1187"/>
    <w:rsid w:val="006E35C8"/>
    <w:rsid w:val="006E48A9"/>
    <w:rsid w:val="006E668C"/>
    <w:rsid w:val="006F530E"/>
    <w:rsid w:val="006F6B14"/>
    <w:rsid w:val="007007C1"/>
    <w:rsid w:val="0071068A"/>
    <w:rsid w:val="007212A8"/>
    <w:rsid w:val="007300C5"/>
    <w:rsid w:val="00731059"/>
    <w:rsid w:val="00734795"/>
    <w:rsid w:val="00736053"/>
    <w:rsid w:val="00755380"/>
    <w:rsid w:val="007558D2"/>
    <w:rsid w:val="00762EE6"/>
    <w:rsid w:val="00776742"/>
    <w:rsid w:val="00776D59"/>
    <w:rsid w:val="0078344F"/>
    <w:rsid w:val="00784BE3"/>
    <w:rsid w:val="00795BB0"/>
    <w:rsid w:val="00797FDB"/>
    <w:rsid w:val="007A3DB3"/>
    <w:rsid w:val="007B0D16"/>
    <w:rsid w:val="007C0525"/>
    <w:rsid w:val="007C1EAE"/>
    <w:rsid w:val="007D0151"/>
    <w:rsid w:val="007D638F"/>
    <w:rsid w:val="007F0FC7"/>
    <w:rsid w:val="00802998"/>
    <w:rsid w:val="008067E3"/>
    <w:rsid w:val="0081494F"/>
    <w:rsid w:val="00817934"/>
    <w:rsid w:val="008407BA"/>
    <w:rsid w:val="0084239C"/>
    <w:rsid w:val="00843968"/>
    <w:rsid w:val="00846ED8"/>
    <w:rsid w:val="0086328B"/>
    <w:rsid w:val="0086637B"/>
    <w:rsid w:val="0087686F"/>
    <w:rsid w:val="00882FEB"/>
    <w:rsid w:val="00896B82"/>
    <w:rsid w:val="008A20D6"/>
    <w:rsid w:val="008B61C8"/>
    <w:rsid w:val="008C08BB"/>
    <w:rsid w:val="008C4CFA"/>
    <w:rsid w:val="008C6B49"/>
    <w:rsid w:val="008E06D3"/>
    <w:rsid w:val="008F5F08"/>
    <w:rsid w:val="008F7AAC"/>
    <w:rsid w:val="00903FB4"/>
    <w:rsid w:val="00906C91"/>
    <w:rsid w:val="00907ACE"/>
    <w:rsid w:val="00912CF1"/>
    <w:rsid w:val="00913EC8"/>
    <w:rsid w:val="00924854"/>
    <w:rsid w:val="0093549F"/>
    <w:rsid w:val="00936DF2"/>
    <w:rsid w:val="00945541"/>
    <w:rsid w:val="00952A36"/>
    <w:rsid w:val="00952A8F"/>
    <w:rsid w:val="00953AC6"/>
    <w:rsid w:val="00965DCF"/>
    <w:rsid w:val="00967087"/>
    <w:rsid w:val="0097089E"/>
    <w:rsid w:val="009724C9"/>
    <w:rsid w:val="00982746"/>
    <w:rsid w:val="009837AE"/>
    <w:rsid w:val="009A737C"/>
    <w:rsid w:val="009B4125"/>
    <w:rsid w:val="009B4408"/>
    <w:rsid w:val="009D004F"/>
    <w:rsid w:val="009D48DB"/>
    <w:rsid w:val="009E14C3"/>
    <w:rsid w:val="009E1951"/>
    <w:rsid w:val="009E5D42"/>
    <w:rsid w:val="009F0670"/>
    <w:rsid w:val="009F4A16"/>
    <w:rsid w:val="00A004E7"/>
    <w:rsid w:val="00A03013"/>
    <w:rsid w:val="00A03AAB"/>
    <w:rsid w:val="00A07BE0"/>
    <w:rsid w:val="00A11B3A"/>
    <w:rsid w:val="00A13137"/>
    <w:rsid w:val="00A200B7"/>
    <w:rsid w:val="00A20834"/>
    <w:rsid w:val="00A21879"/>
    <w:rsid w:val="00A22CCB"/>
    <w:rsid w:val="00A242B2"/>
    <w:rsid w:val="00A322AB"/>
    <w:rsid w:val="00A32750"/>
    <w:rsid w:val="00A41E84"/>
    <w:rsid w:val="00A458A1"/>
    <w:rsid w:val="00A47B47"/>
    <w:rsid w:val="00A57806"/>
    <w:rsid w:val="00A654F8"/>
    <w:rsid w:val="00A6745F"/>
    <w:rsid w:val="00A75029"/>
    <w:rsid w:val="00A75419"/>
    <w:rsid w:val="00A868E0"/>
    <w:rsid w:val="00A87618"/>
    <w:rsid w:val="00A90ACC"/>
    <w:rsid w:val="00A9243C"/>
    <w:rsid w:val="00A93B90"/>
    <w:rsid w:val="00AB163E"/>
    <w:rsid w:val="00AB2526"/>
    <w:rsid w:val="00AB336B"/>
    <w:rsid w:val="00AB621C"/>
    <w:rsid w:val="00AC0B06"/>
    <w:rsid w:val="00AC71AF"/>
    <w:rsid w:val="00AC7203"/>
    <w:rsid w:val="00AE4CF5"/>
    <w:rsid w:val="00AE5B76"/>
    <w:rsid w:val="00AE7A6C"/>
    <w:rsid w:val="00B1028A"/>
    <w:rsid w:val="00B11B55"/>
    <w:rsid w:val="00B12B0D"/>
    <w:rsid w:val="00B13334"/>
    <w:rsid w:val="00B13E4D"/>
    <w:rsid w:val="00B16441"/>
    <w:rsid w:val="00B30640"/>
    <w:rsid w:val="00B430D9"/>
    <w:rsid w:val="00B62675"/>
    <w:rsid w:val="00B62B50"/>
    <w:rsid w:val="00B64DE6"/>
    <w:rsid w:val="00B66CB2"/>
    <w:rsid w:val="00B80E99"/>
    <w:rsid w:val="00BA096C"/>
    <w:rsid w:val="00BA3F31"/>
    <w:rsid w:val="00BA59BD"/>
    <w:rsid w:val="00BA6FEA"/>
    <w:rsid w:val="00BB27CB"/>
    <w:rsid w:val="00BB68DC"/>
    <w:rsid w:val="00BB7CB0"/>
    <w:rsid w:val="00BC5479"/>
    <w:rsid w:val="00BD14FE"/>
    <w:rsid w:val="00BD3DB2"/>
    <w:rsid w:val="00BD5D6E"/>
    <w:rsid w:val="00BD7795"/>
    <w:rsid w:val="00BE1A55"/>
    <w:rsid w:val="00C06F6E"/>
    <w:rsid w:val="00C1105B"/>
    <w:rsid w:val="00C12A52"/>
    <w:rsid w:val="00C13596"/>
    <w:rsid w:val="00C14829"/>
    <w:rsid w:val="00C17296"/>
    <w:rsid w:val="00C21108"/>
    <w:rsid w:val="00C2266E"/>
    <w:rsid w:val="00C22E7E"/>
    <w:rsid w:val="00C2583A"/>
    <w:rsid w:val="00C25901"/>
    <w:rsid w:val="00C26110"/>
    <w:rsid w:val="00C43105"/>
    <w:rsid w:val="00C50519"/>
    <w:rsid w:val="00C517FF"/>
    <w:rsid w:val="00C52D19"/>
    <w:rsid w:val="00C65D1E"/>
    <w:rsid w:val="00C6670B"/>
    <w:rsid w:val="00C709EF"/>
    <w:rsid w:val="00C72278"/>
    <w:rsid w:val="00C833D9"/>
    <w:rsid w:val="00C97417"/>
    <w:rsid w:val="00CA57D5"/>
    <w:rsid w:val="00CB2A81"/>
    <w:rsid w:val="00CC5C54"/>
    <w:rsid w:val="00CD1BCD"/>
    <w:rsid w:val="00CD70A7"/>
    <w:rsid w:val="00CE1134"/>
    <w:rsid w:val="00CE2823"/>
    <w:rsid w:val="00CE43B5"/>
    <w:rsid w:val="00CF0085"/>
    <w:rsid w:val="00CF0407"/>
    <w:rsid w:val="00CF3069"/>
    <w:rsid w:val="00D1088B"/>
    <w:rsid w:val="00D15B82"/>
    <w:rsid w:val="00D2069B"/>
    <w:rsid w:val="00D21BFD"/>
    <w:rsid w:val="00D21DEF"/>
    <w:rsid w:val="00D24AC8"/>
    <w:rsid w:val="00D24BE5"/>
    <w:rsid w:val="00D24E19"/>
    <w:rsid w:val="00D24E71"/>
    <w:rsid w:val="00D32BEA"/>
    <w:rsid w:val="00D350C8"/>
    <w:rsid w:val="00D46E1E"/>
    <w:rsid w:val="00D53659"/>
    <w:rsid w:val="00D56ACC"/>
    <w:rsid w:val="00D57C0A"/>
    <w:rsid w:val="00D671ED"/>
    <w:rsid w:val="00D67374"/>
    <w:rsid w:val="00D716CC"/>
    <w:rsid w:val="00D845A8"/>
    <w:rsid w:val="00D86A31"/>
    <w:rsid w:val="00D91A64"/>
    <w:rsid w:val="00DA3CCA"/>
    <w:rsid w:val="00DA3D21"/>
    <w:rsid w:val="00DA5771"/>
    <w:rsid w:val="00DA7775"/>
    <w:rsid w:val="00DC0B56"/>
    <w:rsid w:val="00DC1BFE"/>
    <w:rsid w:val="00DC32EE"/>
    <w:rsid w:val="00DC5C08"/>
    <w:rsid w:val="00DD0A9A"/>
    <w:rsid w:val="00DD248A"/>
    <w:rsid w:val="00DD457A"/>
    <w:rsid w:val="00DE7F73"/>
    <w:rsid w:val="00DF01CC"/>
    <w:rsid w:val="00DF09C5"/>
    <w:rsid w:val="00DF6FA2"/>
    <w:rsid w:val="00E04D4B"/>
    <w:rsid w:val="00E05A69"/>
    <w:rsid w:val="00E063A3"/>
    <w:rsid w:val="00E16F00"/>
    <w:rsid w:val="00E25281"/>
    <w:rsid w:val="00E26739"/>
    <w:rsid w:val="00E422AF"/>
    <w:rsid w:val="00E42A26"/>
    <w:rsid w:val="00E46144"/>
    <w:rsid w:val="00E51CD0"/>
    <w:rsid w:val="00E67FB4"/>
    <w:rsid w:val="00E70FF9"/>
    <w:rsid w:val="00E72BCB"/>
    <w:rsid w:val="00E849CE"/>
    <w:rsid w:val="00EA3C3F"/>
    <w:rsid w:val="00EB1382"/>
    <w:rsid w:val="00EB4695"/>
    <w:rsid w:val="00EB55A0"/>
    <w:rsid w:val="00EC46F8"/>
    <w:rsid w:val="00ED72EF"/>
    <w:rsid w:val="00EE10DA"/>
    <w:rsid w:val="00EF2674"/>
    <w:rsid w:val="00EF2870"/>
    <w:rsid w:val="00EF6204"/>
    <w:rsid w:val="00F00B30"/>
    <w:rsid w:val="00F07F49"/>
    <w:rsid w:val="00F125E5"/>
    <w:rsid w:val="00F22D22"/>
    <w:rsid w:val="00F26453"/>
    <w:rsid w:val="00F44F50"/>
    <w:rsid w:val="00F53E77"/>
    <w:rsid w:val="00F565A5"/>
    <w:rsid w:val="00F635C1"/>
    <w:rsid w:val="00F81399"/>
    <w:rsid w:val="00F945B1"/>
    <w:rsid w:val="00F94EB1"/>
    <w:rsid w:val="00F950BD"/>
    <w:rsid w:val="00F9704A"/>
    <w:rsid w:val="00FA23D1"/>
    <w:rsid w:val="00FA3E3B"/>
    <w:rsid w:val="00FC0C9D"/>
    <w:rsid w:val="00FC43F7"/>
    <w:rsid w:val="00FD2F65"/>
    <w:rsid w:val="00FD6BD2"/>
    <w:rsid w:val="00FE3A9E"/>
    <w:rsid w:val="00FF08BB"/>
    <w:rsid w:val="00FF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46DCB"/>
  <w15:chartTrackingRefBased/>
  <w15:docId w15:val="{9B67E97E-04A0-497B-BA7D-758690DD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9BD"/>
    <w:pPr>
      <w:spacing w:before="120" w:after="120" w:line="240" w:lineRule="auto"/>
    </w:pPr>
    <w:rPr>
      <w:rFonts w:ascii="Arial" w:eastAsia="Times New Roman" w:hAnsi="Arial" w:cs="Arial"/>
      <w:sz w:val="18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har"/>
    <w:uiPriority w:val="1"/>
    <w:qFormat/>
    <w:rsid w:val="006E0E0A"/>
    <w:pPr>
      <w:spacing w:after="0" w:line="240" w:lineRule="auto"/>
    </w:pPr>
    <w:rPr>
      <w:rFonts w:eastAsiaTheme="minorEastAsia"/>
      <w:lang w:val="en-US"/>
    </w:rPr>
  </w:style>
  <w:style w:type="character" w:customStyle="1" w:styleId="SemEspaamentoChar">
    <w:name w:val="Sem Espaçamento Char"/>
    <w:basedOn w:val="Fontepargpadro"/>
    <w:link w:val="SemEspaamento"/>
    <w:uiPriority w:val="1"/>
    <w:qFormat/>
    <w:rsid w:val="006E0E0A"/>
    <w:rPr>
      <w:rFonts w:eastAsiaTheme="minorEastAsia"/>
      <w:lang w:val="en-US"/>
    </w:rPr>
  </w:style>
  <w:style w:type="paragraph" w:styleId="PargrafodaLista">
    <w:name w:val="List Paragraph"/>
    <w:basedOn w:val="Normal"/>
    <w:uiPriority w:val="34"/>
    <w:qFormat/>
    <w:rsid w:val="006E668C"/>
    <w:pPr>
      <w:ind w:left="720"/>
      <w:contextualSpacing/>
    </w:pPr>
  </w:style>
  <w:style w:type="table" w:styleId="Tabelacomgrade">
    <w:name w:val="Table Grid"/>
    <w:basedOn w:val="Tabelanormal"/>
    <w:qFormat/>
    <w:rsid w:val="00734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2">
    <w:name w:val="Grid Table 2"/>
    <w:basedOn w:val="Tabela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AxureHeading1">
    <w:name w:val="AxureHeading1"/>
    <w:basedOn w:val="Normal"/>
    <w:qFormat/>
    <w:rsid w:val="00776742"/>
    <w:pPr>
      <w:numPr>
        <w:numId w:val="10"/>
      </w:numPr>
      <w:spacing w:after="240"/>
    </w:pPr>
    <w:rPr>
      <w:b/>
      <w:color w:val="404040" w:themeColor="text1" w:themeTint="BF"/>
      <w:sz w:val="28"/>
    </w:rPr>
  </w:style>
  <w:style w:type="paragraph" w:customStyle="1" w:styleId="AxureHeading2">
    <w:name w:val="AxureHeading2"/>
    <w:basedOn w:val="Normal"/>
    <w:rsid w:val="00776742"/>
    <w:pPr>
      <w:numPr>
        <w:ilvl w:val="1"/>
        <w:numId w:val="10"/>
      </w:numPr>
    </w:pPr>
    <w:rPr>
      <w:b/>
      <w:color w:val="404040" w:themeColor="text1" w:themeTint="BF"/>
      <w:sz w:val="26"/>
    </w:rPr>
  </w:style>
  <w:style w:type="paragraph" w:customStyle="1" w:styleId="AxureHeading3">
    <w:name w:val="AxureHeading3"/>
    <w:basedOn w:val="Normal"/>
    <w:rsid w:val="00776742"/>
    <w:pPr>
      <w:numPr>
        <w:ilvl w:val="2"/>
        <w:numId w:val="10"/>
      </w:numPr>
      <w:spacing w:before="240"/>
    </w:pPr>
    <w:rPr>
      <w:b/>
      <w:color w:val="404040" w:themeColor="text1" w:themeTint="BF"/>
      <w:sz w:val="20"/>
    </w:rPr>
  </w:style>
  <w:style w:type="paragraph" w:customStyle="1" w:styleId="AxureHeading4">
    <w:name w:val="AxureHeading4"/>
    <w:basedOn w:val="Normal"/>
    <w:rsid w:val="00776742"/>
    <w:pPr>
      <w:numPr>
        <w:ilvl w:val="3"/>
        <w:numId w:val="10"/>
      </w:numPr>
      <w:spacing w:before="240"/>
    </w:pPr>
    <w:rPr>
      <w:b/>
      <w:i/>
      <w:color w:val="404040" w:themeColor="text1" w:themeTint="BF"/>
      <w:sz w:val="20"/>
    </w:rPr>
  </w:style>
  <w:style w:type="character" w:styleId="Forte">
    <w:name w:val="Strong"/>
    <w:basedOn w:val="Fontepargpadro"/>
    <w:uiPriority w:val="22"/>
    <w:qFormat/>
    <w:rsid w:val="000E2333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paragraph" w:styleId="Rodap">
    <w:name w:val="footer"/>
    <w:basedOn w:val="Normal"/>
    <w:link w:val="Rodap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character" w:styleId="TextodoEspaoReservado">
    <w:name w:val="Placeholder Text"/>
    <w:basedOn w:val="Fontepargpadro"/>
    <w:uiPriority w:val="99"/>
    <w:semiHidden/>
    <w:qFormat/>
    <w:rsid w:val="00D56ACC"/>
    <w:rPr>
      <w:color w:val="808080"/>
    </w:rPr>
  </w:style>
  <w:style w:type="paragraph" w:customStyle="1" w:styleId="AxureHeadingBasic">
    <w:name w:val="AxureHeadingBasic"/>
    <w:basedOn w:val="Normal"/>
    <w:qFormat/>
    <w:rsid w:val="00D56ACC"/>
    <w:pPr>
      <w:spacing w:before="240"/>
    </w:pPr>
    <w:rPr>
      <w:b/>
      <w:color w:val="404040" w:themeColor="text1" w:themeTint="BF"/>
      <w:u w:val="single"/>
    </w:rPr>
  </w:style>
  <w:style w:type="character" w:customStyle="1" w:styleId="labelclass">
    <w:name w:val="labelclass"/>
    <w:basedOn w:val="Fontepargpadro"/>
    <w:rsid w:val="006971B7"/>
  </w:style>
  <w:style w:type="paragraph" w:styleId="Reviso">
    <w:name w:val="Revision"/>
    <w:hidden/>
    <w:uiPriority w:val="99"/>
    <w:semiHidden/>
    <w:rsid w:val="00797FDB"/>
    <w:pPr>
      <w:spacing w:after="0" w:line="240" w:lineRule="auto"/>
    </w:pPr>
    <w:rPr>
      <w:rFonts w:ascii="Arial" w:eastAsia="Times New Roman" w:hAnsi="Arial" w:cs="Arial"/>
      <w:sz w:val="18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797FD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97FDB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97FDB"/>
    <w:rPr>
      <w:rFonts w:ascii="Arial" w:eastAsia="Times New Roman" w:hAnsi="Arial" w:cs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97FD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97FDB"/>
    <w:rPr>
      <w:rFonts w:ascii="Arial" w:eastAsia="Times New Roman" w:hAnsi="Arial" w:cs="Arial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C46F8"/>
    <w:pPr>
      <w:spacing w:before="0" w:after="0"/>
    </w:pPr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C46F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71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40" Type="http://schemas.openxmlformats.org/officeDocument/2006/relationships/image" Target="media/jornada0.png"/><Relationship Id="rId30" Type="http://schemas.openxmlformats.org/officeDocument/2006/relationships/image" Target="media/tela0.png"/><Relationship Id="rId31" Type="http://schemas.openxmlformats.org/officeDocument/2006/relationships/image" Target="media/tela1.png"/><Relationship Id="rId32" Type="http://schemas.openxmlformats.org/officeDocument/2006/relationships/image" Target="media/tela2.png"/><Relationship Id="rId33" Type="http://schemas.openxmlformats.org/officeDocument/2006/relationships/image" Target="media/tela3.png"/><Relationship Id="rId34" Type="http://schemas.openxmlformats.org/officeDocument/2006/relationships/image" Target="media/tela4.png"/><Relationship Id="rId35" Type="http://schemas.openxmlformats.org/officeDocument/2006/relationships/image" Target="media/tela5.png"/><Relationship Id="rId36" Type="http://schemas.openxmlformats.org/officeDocument/2006/relationships/image" Target="media/tela6.png"/><Relationship Id="rId37" Type="http://schemas.openxmlformats.org/officeDocument/2006/relationships/image" Target="media/tela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F2D84-E49F-4AA9-BF26-39814F4AF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125</Words>
  <Characters>675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Barbosa</dc:creator>
  <cp:keywords/>
  <dc:description/>
  <cp:lastModifiedBy>Andro Marcio</cp:lastModifiedBy>
  <cp:revision>3</cp:revision>
  <dcterms:created xsi:type="dcterms:W3CDTF">2026-08-24T01:41:00Z</dcterms:created>
  <dcterms:modified xsi:type="dcterms:W3CDTF">2026-08-24T02:17:00Z</dcterms:modified>
</cp:coreProperties>
</file>