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Анализ и расчет налоговой экономии</w:t>
        <w:br/>
        <w:t>ООО «ЮМА-ПЭТ» (ИНН 6161072769)</w:t>
      </w:r>
    </w:p>
    <w:p>
      <w:pPr>
        <w:jc w:val="center"/>
      </w:pPr>
      <w:r>
        <w:rPr>
          <w:rFonts w:ascii="Calibri" w:hAnsi="Calibri"/>
          <w:b w:val="0"/>
          <w:color w:val="999999"/>
          <w:sz w:val="16"/>
        </w:rPr>
        <w:t>Источники: audit-it.ru, saby.ru, testfirm.ru, rusprofile.ru · 09.07.2026</w:t>
      </w:r>
    </w:p>
    <w:p/>
    <w:p>
      <w:pPr>
        <w:pStyle w:val="Heading2"/>
      </w:pPr>
      <w:r>
        <w:rPr>
          <w:rFonts w:ascii="Calibri" w:hAnsi="Calibri"/>
          <w:color w:val="1B3A5C"/>
        </w:rPr>
        <w:t>1. Основные реквизиты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«ЮМА-ПЭТ»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 / 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6161072769 / 1156196035390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344000, г. Ростов-на-Дону, ул. Лебединская, д. 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Генеральный директор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Чилингаров Давид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Учредитель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Чилингаров Давид Юрьевич (100%)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вид деятельности (ОКВЭД)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14,5 млн руб.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2. Финансовые показатели</w:t>
      </w:r>
    </w:p>
    <w:p>
      <w:r>
        <w:rPr>
          <w:rFonts w:ascii="Calibri" w:hAnsi="Calibri"/>
          <w:b/>
          <w:color w:val="555555"/>
          <w:sz w:val="18"/>
        </w:rPr>
        <w:t>Таблица 1. Динамика выручки и прибыли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2022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2023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Выручка, руб.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210 800 000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298 400 000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371 500 000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406 200 000</w:t>
            </w:r>
          </w:p>
        </w:tc>
      </w:tr>
      <w:tr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Прибыль, руб.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8 700 000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277 000</w:t>
            </w:r>
          </w:p>
        </w:tc>
      </w:tr>
    </w:tbl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 при статусе резидента Сколково</w:t>
      </w:r>
    </w:p>
    <w:p>
      <w:r>
        <w:rPr>
          <w:rFonts w:ascii="Calibri" w:hAnsi="Calibri"/>
          <w:b w:val="0"/>
          <w:sz w:val="20"/>
        </w:rPr>
        <w:t>Статус резидента Фонда «Сколково» предоставляет следующие налоговые льготы:</w:t>
      </w:r>
    </w:p>
    <w:p>
      <w:r>
        <w:rPr>
          <w:rFonts w:ascii="Calibri" w:hAnsi="Calibri"/>
          <w:b w:val="0"/>
          <w:sz w:val="18"/>
        </w:rPr>
        <w:t>• Налог на прибыль — 0% (стандартная ставка 20%)</w:t>
      </w:r>
    </w:p>
    <w:p>
      <w:r>
        <w:rPr>
          <w:rFonts w:ascii="Calibri" w:hAnsi="Calibri"/>
          <w:b w:val="0"/>
          <w:sz w:val="18"/>
        </w:rPr>
        <w:t>• Страховые взносы — 15% (стандартная ставка 30%)</w:t>
      </w:r>
    </w:p>
    <w:p>
      <w:r>
        <w:rPr>
          <w:rFonts w:ascii="Calibri" w:hAnsi="Calibri"/>
          <w:b w:val="0"/>
          <w:sz w:val="18"/>
        </w:rPr>
        <w:t>• Налог на имущество — освобождение (стандартная ставка до 2,2%)</w:t>
      </w:r>
    </w:p>
    <w:p>
      <w:r>
        <w:rPr>
          <w:rFonts w:ascii="Calibri" w:hAnsi="Calibri"/>
          <w:b w:val="0"/>
          <w:sz w:val="18"/>
        </w:rPr>
        <w:t>• НДС — не применяется (компания сохраняет общий режим)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в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 (оценка)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2 391 400 руб.</w:t>
            </w:r>
          </w:p>
        </w:tc>
      </w:tr>
    </w:tbl>
    <w:p>
      <w:r>
        <w:rPr>
          <w:rFonts w:ascii="Calibri" w:hAnsi="Calibri"/>
          <w:b w:val="0"/>
          <w:color w:val="555555"/>
          <w:sz w:val="18"/>
        </w:rPr>
        <w:t>Обоснование: При текущих показателях выручки 406 млн руб. и прибыли 0.3 млн руб. экономия составляет ≈ 2.4 млн руб./год.</w:t>
      </w:r>
    </w:p>
    <w:p>
      <w:r>
        <w:rPr>
          <w:rFonts w:ascii="Calibri" w:hAnsi="Calibri"/>
          <w:b/>
          <w:color w:val="008000"/>
          <w:sz w:val="20"/>
        </w:rPr>
        <w:t>Прогноз на 10 лет: 25–30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Описание деятельности и продукции</w:t>
      </w:r>
    </w:p>
    <w:p>
      <w:r>
        <w:rPr>
          <w:rFonts w:ascii="Calibri" w:hAnsi="Calibri"/>
          <w:b w:val="0"/>
          <w:sz w:val="20"/>
        </w:rPr>
        <w:t>Компания производит ПЭТ-преформы — заготовки для выдувного формования пластиковых бутылок и ёмкостей. Продукция используется предприятиями пищевой промышленности (розлив воды, напитков, молочной продукции). Компания 11 лет на рынке, стабильно наращивает выручку, в 2025 году выручка превысила 400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5. Интеллектуальная собственность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Зарегистрированные 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Свидетельства и 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yuma-pet.ru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Госзакупки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Задолженность по налогам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</w:tr>
    </w:tbl>
    <w:p>
      <w:r>
        <w:rPr>
          <w:rFonts w:ascii="Calibri" w:hAnsi="Calibri"/>
          <w:b/>
          <w:color w:val="CC6600"/>
          <w:sz w:val="18"/>
        </w:rPr>
        <w:t>Рекомендация: В рамках подготовки заявки рекомендуется подача заявки на полезную модель по тематике проекта.</w:t>
      </w:r>
    </w:p>
    <w:p/>
    <w:p>
      <w:pPr>
        <w:pStyle w:val="Heading2"/>
      </w:pPr>
      <w:r>
        <w:rPr>
          <w:rFonts w:ascii="Calibri" w:hAnsi="Calibri"/>
          <w:color w:val="1B3A5C"/>
        </w:rPr>
        <w:t>6. Связанные компании</w:t>
      </w:r>
    </w:p>
    <w:p>
      <w:r>
        <w:rPr>
          <w:rFonts w:ascii="Calibri" w:hAnsi="Calibri"/>
          <w:b w:val="0"/>
          <w:sz w:val="20"/>
        </w:rPr>
        <w:t>Нет</w:t>
      </w:r>
    </w:p>
    <w:p/>
    <w:p>
      <w:pPr>
        <w:pStyle w:val="Heading2"/>
      </w:pPr>
      <w:r>
        <w:rPr>
          <w:rFonts w:ascii="Calibri" w:hAnsi="Calibri"/>
          <w:color w:val="1B3A5C"/>
        </w:rPr>
        <w:t>7. Инновационный потенциал и предмет заявки</w:t>
      </w:r>
    </w:p>
    <w:p>
      <w:r>
        <w:rPr>
          <w:rFonts w:ascii="Calibri" w:hAnsi="Calibri"/>
          <w:b/>
          <w:sz w:val="20"/>
        </w:rPr>
        <w:t>Технология производства ПЭТ-преформ с улучшенными барьерными свойствами и пониженным содержанием ацетальдегида</w:t>
      </w:r>
    </w:p>
    <w:p>
      <w:r>
        <w:rPr>
          <w:rFonts w:ascii="Calibri" w:hAnsi="Calibri"/>
          <w:b w:val="0"/>
          <w:sz w:val="20"/>
        </w:rPr>
        <w:t>Разработка усовершенствованной технологии литья ПЭТ-преформ под давлением с оптимизацией температурного режима и состава сырья, обеспечивающей снижение содержания ацетальдегида (AA) в готовом изделии и улучшение барьерных свойств. Технология позволяет производить преформы для газированных напитков и пищевых продуктов с увеличенным сроком хранения без использования дополнительных барьерных покрытий.</w:t>
      </w:r>
    </w:p>
    <w:p/>
    <w:p>
      <w:pPr>
        <w:pStyle w:val="Heading2"/>
      </w:pPr>
      <w:r>
        <w:rPr>
          <w:rFonts w:ascii="Calibri" w:hAnsi="Calibri"/>
          <w:color w:val="1B3A5C"/>
        </w:rPr>
        <w:t>8. План действий и вывод</w:t>
      </w:r>
    </w:p>
    <w:p>
      <w:r>
        <w:rPr>
          <w:rFonts w:ascii="Calibri" w:hAnsi="Calibri"/>
          <w:b w:val="0"/>
          <w:sz w:val="18"/>
        </w:rPr>
        <w:t>1. Заключение договора на сопровождение заявки</w:t>
      </w:r>
    </w:p>
    <w:p>
      <w:r>
        <w:rPr>
          <w:rFonts w:ascii="Calibri" w:hAnsi="Calibri"/>
          <w:b w:val="0"/>
          <w:sz w:val="18"/>
        </w:rPr>
        <w:t>2. Подача заявки на полезную модель (4–5 мес.)</w:t>
      </w:r>
    </w:p>
    <w:p>
      <w:r>
        <w:rPr>
          <w:rFonts w:ascii="Calibri" w:hAnsi="Calibri"/>
          <w:b w:val="0"/>
          <w:sz w:val="18"/>
        </w:rPr>
        <w:t>3. Подготовка и подача заявки в Фонд «Сколково»</w:t>
      </w:r>
    </w:p>
    <w:p>
      <w:r>
        <w:rPr>
          <w:rFonts w:ascii="Calibri" w:hAnsi="Calibri"/>
          <w:b w:val="0"/>
          <w:sz w:val="18"/>
        </w:rPr>
        <w:t>4. Получение статуса Участника проекта (средний срок 4–6 мес.)</w:t>
      </w:r>
    </w:p>
    <w:p>
      <w:r>
        <w:rPr>
          <w:rFonts w:ascii="Calibri" w:hAnsi="Calibri"/>
          <w:b w:val="0"/>
          <w:sz w:val="18"/>
        </w:rPr>
        <w:t>5. Ежегодная экономия от 2.4 млн руб. на налогах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color w:val="008000"/>
          <w:sz w:val="20"/>
        </w:rPr>
        <w:t>ВЫВОД: Компания соответствует критериям для получения статуса резидента Сколково. Прогнозируемая налоговая экономия — 25–30 млн руб. за 10 лет.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