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667788"/>
          <w:sz w:val="16"/>
        </w:rPr>
        <w:t>КОНСАЛТИНГОВАЯ КОМПАНИЯ ANDROMEDA CONSULT</w:t>
        <w:br/>
        <w:t>ИНН 7702464831 | ОГРН 1197746181038 | КПП 770201001</w:t>
        <w:br/>
        <w:t>info@andromedaconsult.ru | andromedaconsult.ru</w:t>
      </w:r>
    </w:p>
    <w:p>
      <w:pPr>
        <w:jc w:val="center"/>
      </w:pPr>
      <w:r>
        <w:rPr>
          <w:b/>
          <w:sz w:val="28"/>
        </w:rPr>
        <w:t>КОММЕРЧЕСКОЕ ПРЕДЛОЖЕНИЕ</w:t>
      </w:r>
    </w:p>
    <w:p>
      <w:pPr>
        <w:jc w:val="center"/>
      </w:pPr>
      <w:r>
        <w:rPr>
          <w:sz w:val="20"/>
        </w:rPr>
        <w:t>на получение статуса резидента Фонда «Сколково» и включение в реестр МТК</w:t>
      </w:r>
    </w:p>
    <w:p/>
    <w:p>
      <w:r>
        <w:rPr>
          <w:b/>
        </w:rPr>
        <w:t xml:space="preserve">Клиент: </w:t>
      </w:r>
      <w:r>
        <w:t>ООО «РИПАС СПБ»</w:t>
      </w:r>
      <w:r>
        <w:rPr>
          <w:b/>
        </w:rPr>
        <w:br/>
        <w:t xml:space="preserve">ИНН: </w:t>
      </w:r>
      <w:r>
        <w:t>7802873877</w:t>
      </w:r>
      <w:r>
        <w:rPr>
          <w:b/>
        </w:rPr>
        <w:br/>
        <w:t xml:space="preserve">Руководитель: </w:t>
      </w:r>
      <w:r>
        <w:t>Корнюкова Светлана Ефимовна</w:t>
      </w:r>
    </w:p>
    <w:p/>
    <w:p>
      <w:r>
        <w:rPr>
          <w:b/>
          <w:sz w:val="24"/>
        </w:rPr>
        <w:t>1. Текущее состояние компании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Показатель</w:t>
            </w:r>
          </w:p>
        </w:tc>
        <w:tc>
          <w:tcPr>
            <w:tcW w:type="dxa" w:w="2880"/>
          </w:tcPr>
          <w:p>
            <w:r>
              <w:t>Значение</w:t>
            </w:r>
          </w:p>
        </w:tc>
        <w:tc>
          <w:tcPr>
            <w:tcW w:type="dxa" w:w="2880"/>
          </w:tcPr>
          <w:p>
            <w:r>
              <w:t>Примечание</w:t>
            </w:r>
          </w:p>
        </w:tc>
      </w:tr>
      <w:tr>
        <w:tc>
          <w:tcPr>
            <w:tcW w:type="dxa" w:w="2880"/>
          </w:tcPr>
          <w:p>
            <w:r>
              <w:t>Выручка (2024)</w:t>
            </w:r>
          </w:p>
        </w:tc>
        <w:tc>
          <w:tcPr>
            <w:tcW w:type="dxa" w:w="2880"/>
          </w:tcPr>
          <w:p>
            <w:r>
              <w:t>429 млн ₽</w:t>
            </w:r>
          </w:p>
        </w:tc>
        <w:tc>
          <w:tcPr>
            <w:tcW w:type="dxa" w:w="2880"/>
          </w:tcPr>
          <w:p>
            <w:r>
              <w:t>Стабильный рост</w:t>
            </w:r>
          </w:p>
        </w:tc>
      </w:tr>
      <w:tr>
        <w:tc>
          <w:tcPr>
            <w:tcW w:type="dxa" w:w="2880"/>
          </w:tcPr>
          <w:p>
            <w:r>
              <w:t>Чистая прибыль (2024)</w:t>
            </w:r>
          </w:p>
        </w:tc>
        <w:tc>
          <w:tcPr>
            <w:tcW w:type="dxa" w:w="2880"/>
          </w:tcPr>
          <w:p>
            <w:r>
              <w:t>118 млн ₽</w:t>
            </w:r>
          </w:p>
        </w:tc>
        <w:tc>
          <w:tcPr>
            <w:tcW w:type="dxa" w:w="2880"/>
          </w:tcPr>
          <w:p>
            <w:r>
              <w:t>Рентабельность ~27%</w:t>
            </w:r>
          </w:p>
        </w:tc>
      </w:tr>
      <w:tr>
        <w:tc>
          <w:tcPr>
            <w:tcW w:type="dxa" w:w="2880"/>
          </w:tcPr>
          <w:p>
            <w:r>
              <w:t>Численность</w:t>
            </w:r>
          </w:p>
        </w:tc>
        <w:tc>
          <w:tcPr>
            <w:tcW w:type="dxa" w:w="2880"/>
          </w:tcPr>
          <w:p>
            <w:r>
              <w:t>32 чел.</w:t>
            </w:r>
          </w:p>
        </w:tc>
        <w:tc>
          <w:tcPr>
            <w:tcW w:type="dxa" w:w="2880"/>
          </w:tcPr>
          <w:p>
            <w:r>
              <w:t>Программисты, инженеры, производство</w:t>
            </w:r>
          </w:p>
        </w:tc>
      </w:tr>
      <w:tr>
        <w:tc>
          <w:tcPr>
            <w:tcW w:type="dxa" w:w="2880"/>
          </w:tcPr>
          <w:p>
            <w:r>
              <w:t>Налоговый режим</w:t>
            </w:r>
          </w:p>
        </w:tc>
        <w:tc>
          <w:tcPr>
            <w:tcW w:type="dxa" w:w="2880"/>
          </w:tcPr>
          <w:p>
            <w:r>
              <w:t>ОСН</w:t>
            </w:r>
          </w:p>
        </w:tc>
        <w:tc>
          <w:tcPr>
            <w:tcW w:type="dxa" w:w="2880"/>
          </w:tcPr>
          <w:p>
            <w:r>
              <w:t>Подходит для Сколково</w:t>
            </w:r>
          </w:p>
        </w:tc>
      </w:tr>
      <w:tr>
        <w:tc>
          <w:tcPr>
            <w:tcW w:type="dxa" w:w="2880"/>
          </w:tcPr>
          <w:p>
            <w:r>
              <w:t>ОКВЭД</w:t>
            </w:r>
          </w:p>
        </w:tc>
        <w:tc>
          <w:tcPr>
            <w:tcW w:type="dxa" w:w="2880"/>
          </w:tcPr>
          <w:p>
            <w:r>
              <w:t>26.51.7</w:t>
            </w:r>
          </w:p>
        </w:tc>
        <w:tc>
          <w:tcPr>
            <w:tcW w:type="dxa" w:w="2880"/>
          </w:tcPr>
          <w:p>
            <w:r>
              <w:t>Приборы автоматического регулирования</w:t>
            </w:r>
          </w:p>
        </w:tc>
      </w:tr>
    </w:tbl>
    <w:p/>
    <w:p>
      <w:r>
        <w:rPr>
          <w:b/>
          <w:sz w:val="24"/>
        </w:rPr>
        <w:t>2. Ключевые преимущества для Сколково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Показатель</w:t>
            </w:r>
          </w:p>
        </w:tc>
        <w:tc>
          <w:tcPr>
            <w:tcW w:type="dxa" w:w="2880"/>
          </w:tcPr>
          <w:p>
            <w:r>
              <w:t>Значение</w:t>
            </w:r>
          </w:p>
        </w:tc>
        <w:tc>
          <w:tcPr>
            <w:tcW w:type="dxa" w:w="2880"/>
          </w:tcPr>
          <w:p>
            <w:r>
              <w:t>Примечание</w:t>
            </w:r>
          </w:p>
        </w:tc>
      </w:tr>
      <w:tr>
        <w:tc>
          <w:tcPr>
            <w:tcW w:type="dxa" w:w="2880"/>
          </w:tcPr>
          <w:p>
            <w:r>
              <w:t>Собственные R&amp;D</w:t>
            </w:r>
          </w:p>
        </w:tc>
        <w:tc>
          <w:tcPr>
            <w:tcW w:type="dxa" w:w="2880"/>
          </w:tcPr>
          <w:p>
            <w:r>
              <w:t>АСУДД «СПЕКТР», V2X, видеодетекторы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Продукция</w:t>
            </w:r>
          </w:p>
        </w:tc>
        <w:tc>
          <w:tcPr>
            <w:tcW w:type="dxa" w:w="2880"/>
          </w:tcPr>
          <w:p>
            <w:r>
              <w:t>Более 1600 контроллеров в СПб, 25 городов РФ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Рынок</w:t>
            </w:r>
          </w:p>
        </w:tc>
        <w:tc>
          <w:tcPr>
            <w:tcW w:type="dxa" w:w="2880"/>
          </w:tcPr>
          <w:p>
            <w:r>
              <w:t>Интеллектуальные транспортные системы (ИТС)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Стаж</w:t>
            </w:r>
          </w:p>
        </w:tc>
        <w:tc>
          <w:tcPr>
            <w:tcW w:type="dxa" w:w="2880"/>
          </w:tcPr>
          <w:p>
            <w:r>
              <w:t>27 лет экспертного опыта на рынке</w:t>
            </w:r>
          </w:p>
        </w:tc>
        <w:tc>
          <w:tcPr>
            <w:tcW w:type="dxa" w:w="2880"/>
          </w:tcPr>
          <w:p/>
        </w:tc>
      </w:tr>
    </w:tbl>
    <w:p/>
    <w:p>
      <w:r>
        <w:rPr>
          <w:b/>
          <w:sz w:val="24"/>
        </w:rPr>
        <w:t>3. Налоговая экономия при статусе резидента Сколково</w:t>
      </w:r>
    </w:p>
    <w:p>
      <w:r>
        <w:rPr>
          <w:sz w:val="20"/>
        </w:rPr>
        <w:t>• Налог на прибыль — 0% (вместо 20%) — экономия ~23,6 млн ₽/год</w:t>
        <w:br/>
        <w:t>• Страховые взносы — 15% (вместо 30%) — экономия ~2,5 млн ₽/год</w:t>
        <w:br/>
        <w:t>• Освобождение от налога на имущество и таможенных пошлин</w:t>
        <w:br/>
        <w:br/>
        <w:t>Итого годовая экономия: ~26 139 000 ₽</w:t>
        <w:br/>
        <w:t>Прогноз на 10 лет: ~261 391 000 ₽</w:t>
      </w:r>
    </w:p>
    <w:p/>
    <w:p>
      <w:r>
        <w:rPr>
          <w:b/>
          <w:sz w:val="24"/>
        </w:rPr>
        <w:t>4. Контрфактический сценарий (10 лет)</w:t>
      </w:r>
    </w:p>
    <w:p>
      <w:r>
        <w:rPr>
          <w:sz w:val="20"/>
        </w:rPr>
        <w:t>Если компания не станет резидентом Сколково, за 10 лет:</w:t>
        <w:br/>
        <w:t>• Потеря ~261 млн ₽ налоговой экономии</w:t>
        <w:br/>
        <w:t>• Переплата по налогу на прибыль ~236 млн ₽</w:t>
        <w:br/>
        <w:t>• Переплата по страховым взносам ~25 млн ₽</w:t>
        <w:br/>
        <w:t>• Упущенный доступ к грантовым программам (до 30 млн ₽)</w:t>
        <w:br/>
        <w:br/>
        <w:t>Каждый год промедления = упущенные ~26 млн ₽ налоговой экономии.</w:t>
      </w:r>
    </w:p>
    <w:p/>
    <w:p>
      <w:r>
        <w:rPr>
          <w:b/>
          <w:sz w:val="24"/>
        </w:rPr>
        <w:t>5. Стоимость услуг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Услуга</w:t>
            </w:r>
          </w:p>
        </w:tc>
        <w:tc>
          <w:tcPr>
            <w:tcW w:type="dxa" w:w="4320"/>
          </w:tcPr>
          <w:p>
            <w:r>
              <w:t>Стоимость</w:t>
            </w:r>
          </w:p>
        </w:tc>
      </w:tr>
      <w:tr>
        <w:tc>
          <w:tcPr>
            <w:tcW w:type="dxa" w:w="4320"/>
          </w:tcPr>
          <w:p>
            <w:r>
              <w:t>Формирование пакета документов (аванс)</w:t>
            </w:r>
          </w:p>
        </w:tc>
        <w:tc>
          <w:tcPr>
            <w:tcW w:type="dxa" w:w="4320"/>
          </w:tcPr>
          <w:p>
            <w:r>
              <w:t>250 000 ₽</w:t>
            </w:r>
          </w:p>
        </w:tc>
      </w:tr>
      <w:tr>
        <w:tc>
          <w:tcPr>
            <w:tcW w:type="dxa" w:w="4320"/>
          </w:tcPr>
          <w:p>
            <w:r>
              <w:t>Success fee за статус Сколково</w:t>
            </w:r>
          </w:p>
        </w:tc>
        <w:tc>
          <w:tcPr>
            <w:tcW w:type="dxa" w:w="4320"/>
          </w:tcPr>
          <w:p>
            <w:r>
              <w:t>500 000 ₽</w:t>
            </w:r>
          </w:p>
        </w:tc>
      </w:tr>
      <w:tr>
        <w:tc>
          <w:tcPr>
            <w:tcW w:type="dxa" w:w="4320"/>
          </w:tcPr>
          <w:p>
            <w:r>
              <w:t>Success fee за статус МТК</w:t>
            </w:r>
          </w:p>
        </w:tc>
        <w:tc>
          <w:tcPr>
            <w:tcW w:type="dxa" w:w="4320"/>
          </w:tcPr>
          <w:p>
            <w:r>
              <w:t>150 000 ₽</w:t>
            </w:r>
          </w:p>
        </w:tc>
      </w:tr>
      <w:tr>
        <w:tc>
          <w:tcPr>
            <w:tcW w:type="dxa" w:w="4320"/>
          </w:tcPr>
          <w:p>
            <w:r>
              <w:t>Патентование (полезная модель, доп.)</w:t>
            </w:r>
          </w:p>
        </w:tc>
        <w:tc>
          <w:tcPr>
            <w:tcW w:type="dxa" w:w="4320"/>
          </w:tcPr>
          <w:p>
            <w:r>
              <w:t>80 000 ₽</w:t>
            </w:r>
          </w:p>
        </w:tc>
      </w:tr>
    </w:tbl>
    <w:p/>
    <w:p>
      <w:r>
        <w:rPr>
          <w:b/>
          <w:sz w:val="24"/>
        </w:rPr>
        <w:t>6. Дорожная карта</w:t>
      </w:r>
    </w:p>
    <w:p>
      <w:r>
        <w:rPr>
          <w:sz w:val="20"/>
        </w:rPr>
        <w:t>1. Анализ компании и патентный аудит — 1-2 дня</w:t>
        <w:br/>
        <w:t>2. Подача заявки в Сколково — 2-3 недели</w:t>
        <w:br/>
        <w:t>3. Получение статуса резидента — 2-3 месяца</w:t>
        <w:br/>
        <w:t>4. Параллельно: регистрация полезных моделей и ПО — 4-5 мес.</w:t>
        <w:br/>
        <w:t>5. При необходимости: подача на МТК</w:t>
        <w:br/>
        <w:t>6. Отчётность: 4 квартальных + 1 годовой отчёт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