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«Протон» (ИНН 0276133311)</w:t>
      </w:r>
    </w:p>
    <w:p>
      <w:pPr>
        <w:jc w:val="center"/>
      </w:pPr>
      <w:r>
        <w:rPr>
          <w:color w:val="666666"/>
          <w:sz w:val="16"/>
        </w:rPr>
        <w:t>Источники: audit-it.ru, saby.ru, zachestnyibiznes.ru, rusprofile.ru · 09.07.2026</w:t>
      </w:r>
    </w:p>
    <w:p>
      <w:r>
        <w:rPr>
          <w:b/>
          <w:color w:val="2D2D2D"/>
          <w:sz w:val="22"/>
        </w:rPr>
        <w:t>1. Основные реквизиты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ООО «Протон»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ИНН / ОГРН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0276133311 / 1110280031938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450105, г. Уфа, ул. Новоженова, д. 88, этаж 1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Иванцов Сергей Владимирович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Учредитель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 физических лица (по 50%)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Основной вид деятельности (ОКВЭД)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24 000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22 чел.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Стоимость имущества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p>
      <w:r>
        <w:rPr>
          <w:sz w:val="20"/>
        </w:rPr>
        <w:t>Таблица 1. Динамика выручки и прибыли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728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728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728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728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302 000 000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290 000 000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322 000 000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380 000 000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Прибыль, руб.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6 900 000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6 500 000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1 500 000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 при статусе резидента Сколково</w:t>
      </w:r>
    </w:p>
    <w:p>
      <w:r>
        <w:rPr>
          <w:sz w:val="20"/>
        </w:rPr>
        <w:t>Статус резидента Фонда «Сколково» предоставляет следующие налоговые льготы:</w:t>
      </w:r>
    </w:p>
    <w:p>
      <w:r>
        <w:rPr>
          <w:sz w:val="20"/>
        </w:rPr>
        <w:t>• Налог на прибыль — 0% (стандартная ставка 20%)</w:t>
      </w:r>
    </w:p>
    <w:p>
      <w:r>
        <w:rPr>
          <w:sz w:val="20"/>
        </w:rPr>
        <w:t>• Страховые взносы — 15% (стандартная ставка 30%)</w:t>
      </w:r>
    </w:p>
    <w:p>
      <w:r>
        <w:rPr>
          <w:sz w:val="20"/>
        </w:rPr>
        <w:t>• Налог на имущество — освобождение (стандартная ставка до 2,2%)</w:t>
      </w:r>
    </w:p>
    <w:p>
      <w:r>
        <w:rPr>
          <w:sz w:val="20"/>
        </w:rPr>
        <w:t>• НДС — не применяется (компания сохраняет общий режим)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Стандартный режим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в 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3 300 000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1 650 000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1 650 000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 200 000 руб. (оценка)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 200 000 руб.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b/>
                <w:sz w:val="18"/>
              </w:rPr>
              <w:t>2 150 000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Обоснование: При текущих показателях выручки 380 млн руб. и прибыли 1,5 млн руб. экономия составляет ≈ 2 млн руб./год.</w:t>
      </w:r>
    </w:p>
    <w:p>
      <w:r>
        <w:rPr>
          <w:sz w:val="20"/>
        </w:rPr>
        <w:t>Прогноз на 10 лет: 15–25 млн руб.</w:t>
      </w:r>
    </w:p>
    <w:p>
      <w:r>
        <w:rPr>
          <w:sz w:val="20"/>
        </w:rPr>
      </w:r>
    </w:p>
    <w:p>
      <w:r>
        <w:rPr>
          <w:sz w:val="20"/>
        </w:rPr>
        <w:t>Примечание: при росте рентабельности (снижении доли расходов) и увеличении прибыли, экономия может существенно возрасти.</w:t>
      </w:r>
    </w:p>
    <w:p>
      <w:r>
        <w:rPr>
          <w:b/>
          <w:color w:val="2D2D2D"/>
          <w:sz w:val="22"/>
        </w:rPr>
        <w:t>4. Описание деятельности и продукции</w:t>
      </w:r>
    </w:p>
    <w:p>
      <w:r>
        <w:rPr>
          <w:sz w:val="20"/>
        </w:rPr>
        <w:t>Компания занимается производством мягких контейнеров (биг-бэгов), полипропиленовой ткани и мультифиламентной нити. Производство полного цикла: от экструзии полипропиленовой ленты до пошива готовых изделий. Продукция используется для упаковки сыпучих грузов в металлургической, химической, пищевой и строительной отраслях.</w:t>
      </w:r>
    </w:p>
    <w:p>
      <w:r>
        <w:rPr>
          <w:sz w:val="20"/>
        </w:rPr>
      </w:r>
    </w:p>
    <w:p>
      <w:r>
        <w:rPr>
          <w:sz w:val="20"/>
        </w:rPr>
        <w:t>Основная продукция: биг-бэги (мягкие контейнеры) для металлургии, пищевой промышленности и строительства; полипропиленовая ткань; мультифиламентная нить.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Зарегистрированные патенты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Свидетельства и сертификаты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Сайт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upakovkarb.ru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Госзакупки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Выявлено участие в торгах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Задолженность по налогам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Не выявлена</w:t>
            </w:r>
          </w:p>
        </w:tc>
      </w:tr>
    </w:tbl>
    <w:p>
      <w:r>
        <w:rPr>
          <w:sz w:val="20"/>
        </w:rPr>
        <w:t>Рекомендация: В рамках подготовки заявки рекомендуется подача заявки на полезную модель по тематике проекта.</w:t>
      </w:r>
    </w:p>
    <w:p>
      <w:r>
        <w:rPr>
          <w:b/>
          <w:color w:val="2D2D2D"/>
          <w:sz w:val="22"/>
        </w:rPr>
        <w:t>6. Связанные компании</w:t>
      </w:r>
    </w:p>
    <w:p>
      <w:r>
        <w:rPr>
          <w:sz w:val="20"/>
        </w:rPr>
        <w:t>Нет данных</w:t>
      </w:r>
    </w:p>
    <w:p>
      <w:r>
        <w:rPr>
          <w:b/>
          <w:color w:val="2D2D2D"/>
          <w:sz w:val="22"/>
        </w:rPr>
        <w:t>7. Инновационный потенциал и предмет заявки</w:t>
      </w:r>
    </w:p>
    <w:p>
      <w:r>
        <w:rPr>
          <w:sz w:val="20"/>
        </w:rPr>
        <w:t>Технология производства мягких контейнеров (биг-бэгов) с улучшенными прочностными характеристиками</w:t>
      </w:r>
    </w:p>
    <w:p>
      <w:r>
        <w:rPr>
          <w:sz w:val="20"/>
        </w:rPr>
        <w:t>Разработка усовершенствованной технологии производства полипропиленовых мягких контейнеров, включающей оптимизацию процесса экструзии полипропиленовой ленты, улучшение равномерности ткацкого переплетения и повышение прочностных характеристик готовых изделий.</w:t>
      </w:r>
    </w:p>
    <w:p>
      <w:r>
        <w:rPr>
          <w:b/>
          <w:color w:val="2D2D2D"/>
          <w:sz w:val="22"/>
        </w:rPr>
        <w:t>8. План действий и вывод</w:t>
      </w:r>
    </w:p>
    <w:p>
      <w:r>
        <w:rPr>
          <w:sz w:val="20"/>
        </w:rPr>
        <w:t>1. Заключение договора на сопровождение заявки</w:t>
      </w:r>
    </w:p>
    <w:p>
      <w:r>
        <w:rPr>
          <w:sz w:val="20"/>
        </w:rPr>
        <w:t>2. Подача заявки на полезную модель (4–5 мес.)</w:t>
      </w:r>
    </w:p>
    <w:p>
      <w:r>
        <w:rPr>
          <w:sz w:val="20"/>
        </w:rPr>
        <w:t>3. Подготовка и подача заявки в Фонд «Сколково»</w:t>
      </w:r>
    </w:p>
    <w:p>
      <w:r>
        <w:rPr>
          <w:sz w:val="20"/>
        </w:rPr>
        <w:t>4. Получение статуса Участника проекта (средний срок 4–6 мес.)</w:t>
      </w:r>
    </w:p>
    <w:p>
      <w:r>
        <w:rPr>
          <w:sz w:val="20"/>
        </w:rPr>
        <w:t>5. Ежегодная экономия от 2 млн руб. на налогах</w:t>
      </w:r>
    </w:p>
    <w:p>
      <w:r>
        <w:rPr>
          <w:sz w:val="20"/>
        </w:rPr>
      </w:r>
    </w:p>
    <w:p>
      <w:r>
        <w:rPr>
          <w:sz w:val="20"/>
        </w:rPr>
        <w:t>ВЫВОД: Компания соответствует критериям для получения статуса резидента Сколково. Прогнозируемая налоговая экономия — 15–25 млн руб. за 10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