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/>
          <w:b/>
          <w:color w:val="1E293B"/>
          <w:sz w:val="18"/>
        </w:rPr>
        <w:t>КОНСАЛТИНГОВАЯ КОМПАНИЯ</w:t>
      </w:r>
    </w:p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32"/>
        </w:rPr>
        <w:t>ANDROMEDA CONSULT</w:t>
      </w:r>
    </w:p>
    <w:p>
      <w:pPr>
        <w:spacing w:after="40" w:before="0" w:line="276" w:lineRule="auto"/>
      </w:pPr>
      <w:r>
        <w:rPr>
          <w:rFonts w:ascii="Calibri" w:hAnsi="Calibri"/>
          <w:color w:val="64748B"/>
          <w:sz w:val="16"/>
        </w:rPr>
        <w:t>ИНН 7702464831  |  ОГРН 1197746181038  |  КПП 770201001</w:t>
      </w:r>
    </w:p>
    <w:p>
      <w:pPr>
        <w:spacing w:after="80" w:before="0" w:line="276" w:lineRule="auto"/>
      </w:pPr>
      <w:r>
        <w:rPr>
          <w:rFonts w:ascii="Calibri" w:hAnsi="Calibri"/>
          <w:color w:val="475569"/>
          <w:sz w:val="16"/>
        </w:rPr>
        <w:t>info@andromedaconsult.ru  |  andromedaconsult.ru  |  @andromedaconsult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20" w:line="276" w:lineRule="auto"/>
        <w:jc w:val="center"/>
      </w:pPr>
      <w:r>
        <w:rPr>
          <w:rFonts w:ascii="Calibri" w:hAnsi="Calibri"/>
          <w:b/>
          <w:color w:val="1E293B"/>
          <w:sz w:val="32"/>
        </w:rPr>
        <w:t>КОММЕРЧЕСКОЕ ПРЕДЛОЖЕНИЕ</w:t>
      </w:r>
    </w:p>
    <w:p>
      <w:pPr>
        <w:spacing w:after="40" w:before="0" w:line="276" w:lineRule="auto"/>
        <w:jc w:val="center"/>
      </w:pPr>
      <w:r>
        <w:rPr>
          <w:rFonts w:ascii="Calibri" w:hAnsi="Calibri"/>
          <w:b/>
          <w:color w:val="475569"/>
          <w:sz w:val="22"/>
        </w:rPr>
        <w:t>ООО «ООО «РЕГИОН»» · ИНН 2539118775 · г. Владивосток</w:t>
      </w:r>
    </w:p>
    <w:p>
      <w:pPr>
        <w:spacing w:after="240" w:before="0" w:line="276" w:lineRule="auto"/>
        <w:jc w:val="center"/>
      </w:pPr>
      <w:r>
        <w:rPr>
          <w:rFonts w:ascii="Calibri" w:hAnsi="Calibri"/>
          <w:color w:val="94A3B8"/>
          <w:sz w:val="18"/>
        </w:rPr>
        <w:t>09 июля 2026 г.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0" w:line="276" w:lineRule="auto"/>
      </w:pPr>
      <w:r>
        <w:rPr>
          <w:rFonts w:ascii="Calibri" w:hAnsi="Calibri"/>
          <w:color w:val="000000"/>
          <w:sz w:val="21"/>
        </w:rPr>
        <w:t>Консалтинговая компания «Андромеда консалтинг» предлагает Вам подготовить пакет документов для участия в следующих программах и направлениях: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получение статуса Участника «Сколково»;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включение Вашей компании в реестр Малых технологических компаний (МТК);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получение в приоритетном порядке патента на изобретение / полезную модель.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1. СТАТУС УЧАСТНИКА «СКОЛКОВО»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Для выявления возможности получения Вашей компанией налоговых преференций мы предлагаем провести анализ деятельности и подготовить заявку на получение статуса Участника Сколково. Резиденты ОЭЗ «Сколково» получают на 10 лет следующие налоговые льготы и поддержку: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Льгота по налогу на прибыль — 0%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Пониженные страховые взносы — 15%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Льгота на налог на имущество — 0%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Льготы по уплате таможенных платежей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Визово-миграционные льготы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Финансовая поддержка: гранты от 1,5 до 50 млн ₽</w:t>
      </w:r>
    </w:p>
    <w:p>
      <w:pPr>
        <w:spacing w:after="120" w:before="200" w:line="276" w:lineRule="auto"/>
      </w:pPr>
      <w:r>
        <w:rPr>
          <w:rFonts w:ascii="Calibri" w:hAnsi="Calibri"/>
          <w:b/>
          <w:color w:val="1E293B"/>
          <w:sz w:val="26"/>
        </w:rPr>
        <w:t>2. РЕЕСТР МАЛЫХ ТЕХНОЛОГИЧЕСКИХ КОМПАНИЙ (МТК)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Вхождение в реестр МТК открывает доступ к следующим мерам господдержки: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дополнительные баллы при участии в грантовых конкурсах;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льготный займ от Корпорации МСП до 2 млрд ₽;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упрощённая процедура защиты интеллектуальной собственности;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сниженная ставка по промышленной ипотеке;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пониженная ставка налога на прибыль (зависит от региона);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размещение на «Витрине стартапов» Минэкономразвития РФ;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поддержка спроса на инновационную продукцию и экспорт.</w:t>
      </w:r>
    </w:p>
    <w:p>
      <w:pPr>
        <w:spacing w:after="80" w:before="0" w:line="276" w:lineRule="auto"/>
      </w:pPr>
      <w:r>
        <w:rPr>
          <w:rFonts w:ascii="Calibri" w:hAnsi="Calibri"/>
          <w:color w:val="475569"/>
          <w:sz w:val="20"/>
        </w:rPr>
        <w:t>Данный список мер господдержки ежегодно дополняется, что расширяет возможности развития и конкуренции компаний, состоящих в реестре МТК.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3. ПРЕДВАРИТЕЛЬНЫЙ АНАЛИЗ КОМПАНИИ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На основе открытых источников нами проведён предварительный анализ Вашей компании. Ниже приведены основные данные, которые будут использованы при подготовке заявки.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8"/>
              </w:rPr>
              <w:t>Показатель</w:t>
            </w:r>
          </w:p>
        </w:tc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8"/>
              </w:rPr>
              <w:t>Значение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Наименование</w:t>
            </w:r>
          </w:p>
        </w:tc>
        <w:tc>
          <w:tcPr>
            <w:tcW w:type="dxa" w:w="5102"/>
          </w:tcPr>
          <w:p>
            <w:r>
              <w:t>ООО «РЕГИОН»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ИНН / ОГРН</w:t>
            </w:r>
          </w:p>
        </w:tc>
        <w:tc>
          <w:tcPr>
            <w:tcW w:type="dxa" w:w="5102"/>
            <w:shd w:fill="fafafa" w:val="clear"/>
          </w:tcPr>
          <w:p>
            <w:r>
              <w:t>2539118775 / 1112539013410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Дата регистрации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Адрес</w:t>
            </w:r>
          </w:p>
        </w:tc>
        <w:tc>
          <w:tcPr>
            <w:tcW w:type="dxa" w:w="5102"/>
            <w:shd w:fill="fafafa" w:val="clear"/>
          </w:tcPr>
          <w:p>
            <w:r>
              <w:t>690011, г. Владивосток, ул. Енисейская, 23Б, оф. 800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Основной ОКВЭД</w:t>
            </w:r>
          </w:p>
        </w:tc>
        <w:tc>
          <w:tcPr>
            <w:tcW w:type="dxa" w:w="5102"/>
          </w:tcPr>
          <w:p>
            <w:r>
              <w:t>25.11 — Производство строительных металлических конструкций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Численность</w:t>
            </w:r>
          </w:p>
        </w:tc>
        <w:tc>
          <w:tcPr>
            <w:tcW w:type="dxa" w:w="5102"/>
            <w:shd w:fill="fafafa" w:val="clear"/>
          </w:tcPr>
          <w:p>
            <w:r>
              <w:t>7 чел.</w:t>
            </w:r>
          </w:p>
        </w:tc>
      </w:tr>
      <w:tr>
        <w:tc>
          <w:tcPr>
            <w:tcW w:type="dxa" w:w="2551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Выручка (средняя за 4 года)</w:t>
            </w:r>
          </w:p>
        </w:tc>
        <w:tc>
          <w:tcPr>
            <w:tcW w:type="dxa" w:w="5102"/>
          </w:tcPr>
          <w:p>
            <w:r>
              <w:t>2024 — ~412 млн руб., 2025 — 120 млн руб.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Прогноз налоговой экономии при статусе резидента Сколково: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3969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Показатель</w:t>
            </w:r>
          </w:p>
        </w:tc>
        <w:tc>
          <w:tcPr>
            <w:tcW w:type="dxa" w:w="3969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Прогноз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Прогноз экономии в год</w:t>
            </w:r>
          </w:p>
        </w:tc>
        <w:tc>
          <w:tcPr>
            <w:tcW w:type="dxa" w:w="3969"/>
          </w:tcPr>
          <w:p>
            <w:r>
              <w:t>~3 млн руб.</w:t>
            </w:r>
          </w:p>
        </w:tc>
      </w:tr>
      <w:tr>
        <w:tc>
          <w:tcPr>
            <w:tcW w:type="dxa" w:w="3969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Прогноз экономии на 10 лет</w:t>
            </w:r>
          </w:p>
        </w:tc>
        <w:tc>
          <w:tcPr>
            <w:tcW w:type="dxa" w:w="3969"/>
            <w:shd w:fill="fafafa" w:val="clear"/>
          </w:tcPr>
          <w:p>
            <w:r>
              <w:t>~30 млн руб.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Окупаемость наших услуг</w:t>
            </w:r>
          </w:p>
        </w:tc>
        <w:tc>
          <w:tcPr>
            <w:tcW w:type="dxa" w:w="3969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6A34A"/>
                <w:sz w:val="19"/>
              </w:rPr>
              <w:t>3–6 месяцев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Готовность данных для заявки (на основе открытых источников):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135"/>
        <w:gridCol w:w="3135"/>
        <w:gridCol w:w="3135"/>
      </w:tblGrid>
      <w:tr>
        <w:tc>
          <w:tcPr>
            <w:tcW w:type="dxa" w:w="567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</w:r>
          </w:p>
        </w:tc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Пункт</w:t>
            </w:r>
          </w:p>
        </w:tc>
        <w:tc>
          <w:tcPr>
            <w:tcW w:type="dxa" w:w="2551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19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16A34A"/>
                <w:sz w:val="20"/>
              </w:rPr>
              <w:t>✓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Реквизиты, отчётность, ОКВЭД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16A34A"/>
                <w:sz w:val="19"/>
              </w:rPr>
              <w:t>Имеются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CA8A04"/>
                <w:sz w:val="20"/>
              </w:rPr>
              <w:t>⚡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Интеллектуальная собственность (патент)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CA8A04"/>
                <w:sz w:val="19"/>
              </w:rPr>
              <w:t>Требуется подача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CA8A04"/>
                <w:sz w:val="20"/>
              </w:rPr>
              <w:t>⚡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Описание продукта-инновации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CA8A04"/>
                <w:sz w:val="19"/>
              </w:rPr>
              <w:t>Прорабатывается совместно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Фото продукции и производства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Личный кабинет lk.sk.ru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  <w:tr>
        <w:tc>
          <w:tcPr>
            <w:tcW w:type="dxa" w:w="567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color w:val="DC2626"/>
                <w:sz w:val="20"/>
              </w:rPr>
              <w:t>✗</w:t>
            </w:r>
          </w:p>
        </w:tc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19"/>
              </w:rPr>
              <w:t>Документы сотрудников / штатное расписание</w:t>
            </w:r>
          </w:p>
        </w:tc>
        <w:tc>
          <w:tcPr>
            <w:tcW w:type="dxa" w:w="2551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DC2626"/>
                <w:sz w:val="19"/>
              </w:rPr>
              <w:t>Требуется от клиента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4. ПОРЯДОК РАБОТЫ (ДОРОЖНАЯ КАРТА)</w:t>
      </w:r>
    </w:p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Необходимые люди и материалы со стороны Компании: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Руководитель компании, главный бухгалтер, главный технолог (инженер) — рабочая группа.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Информация о продукции: минимум — описание и технические характеристики, максимум — чертежи и техническая документация.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Описание технологии, которая проходит через все направления деятельности.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Фото производства, оборудования, готовой продукции.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4–5 человек — команда проекта: заявления, дипломы (техническое образование), регалии.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Базовые цифры для экономической модели: себестоимость, покупатели, поставщики.</w:t>
      </w:r>
    </w:p>
    <w:p>
      <w:pPr>
        <w:spacing w:after="40" w:before="0" w:line="276" w:lineRule="auto"/>
      </w:pPr>
      <w:r>
        <w:rPr>
          <w:rFonts w:ascii="Calibri" w:hAnsi="Calibri"/>
          <w:color w:val="334155"/>
          <w:sz w:val="20"/>
        </w:rPr>
        <w:t>• Патенты (при наличии) или описание технологий, применяемых в работе.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Последовательность работ: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1. Согласование тематики заявки и предмета инновации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Устно с руководителем проекта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2. Согласование и подписание договора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3. Авансовый платёж (250 000 ₽)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4. Формирование рабочей группы в Telegram/МАКС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Назначается главный аналитик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5. Сбор базовых документов и формирование заявки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Срок: 2–3 недели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6. Согласование заявки с Компанией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Срок: 3–4 дня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7. Подача заявки в Сколково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Экстерриториальный резидент ОЭЗ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8. Ожидание результатов экспертизы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1–2 месяца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9. В случае отказа — доработка и переподача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7–9 дней + ~1 месяц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10. В случае победы — подготовка письма для вступления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7–10 дней</w:t>
      </w:r>
    </w:p>
    <w:p>
      <w:pPr>
        <w:spacing w:after="20" w:before="40"/>
      </w:pPr>
      <w:r>
        <w:rPr>
          <w:rFonts w:ascii="Calibri" w:hAnsi="Calibri"/>
          <w:b/>
          <w:color w:val="4338CA"/>
          <w:sz w:val="20"/>
        </w:rPr>
        <w:t>11. Подача заявки на статус МТК</w:t>
      </w:r>
    </w:p>
    <w:p>
      <w:pPr>
        <w:spacing w:after="40" w:before="0"/>
        <w:ind w:left="283"/>
      </w:pPr>
      <w:r>
        <w:rPr>
          <w:rFonts w:ascii="Calibri" w:hAnsi="Calibri"/>
          <w:color w:val="64748B"/>
          <w:sz w:val="18"/>
        </w:rPr>
        <w:t>→ 10–15 дней после Сколково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После получения статуса резидента Сколково и МТК — по желанию заключаем договор на ведение отчётности: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4 квартальных отчёта + 1 годовой отчёт (125 000 ₽ за сопровождение)</w:t>
      </w:r>
    </w:p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5. СТОИМОСТЬ УСЛУГ</w:t>
      </w:r>
    </w:p>
    <w:p>
      <w:pPr>
        <w:spacing w:after="120" w:before="0" w:line="276" w:lineRule="auto"/>
      </w:pPr>
      <w:r>
        <w:rPr>
          <w:rFonts w:ascii="Calibri" w:hAnsi="Calibri"/>
          <w:color w:val="000000"/>
          <w:sz w:val="21"/>
        </w:rPr>
        <w:t>Наша консалтинговая компания предлагает Вам подготовку пакета документов на следующих условиях:</w:t>
      </w:r>
    </w:p>
    <w:tbl>
      <w:tblPr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c>
          <w:tcPr>
            <w:tcW w:type="dxa" w:w="5102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Услуга</w:t>
            </w:r>
          </w:p>
        </w:tc>
        <w:tc>
          <w:tcPr>
            <w:tcW w:type="dxa" w:w="2835"/>
            <w:shd w:fill="f1f5f9" w:val="clea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Стоимость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  <w:t>Аванс за формирование и подачу пакета документов (Сколково + МТК)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250 000 ₽</w:t>
            </w:r>
          </w:p>
        </w:tc>
      </w:tr>
      <w:tr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  <w:t>Подготовка заявки в ФИПС / Росреестр (патент на полезную модель)</w:t>
            </w:r>
          </w:p>
        </w:tc>
        <w:tc>
          <w:tcPr>
            <w:tcW w:type="dxa" w:w="2835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90 000 ₽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D1D5DB"/>
                <w:sz w:val="12"/>
              </w:rPr>
              <w:t>───────────────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1E293B"/>
                <w:sz w:val="20"/>
              </w:rPr>
            </w:r>
          </w:p>
        </w:tc>
      </w:tr>
      <w:tr>
        <w:tc>
          <w:tcPr>
            <w:tcW w:type="dxa" w:w="5102"/>
            <w:shd w:fill="fafa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2563EB"/>
                <w:sz w:val="20"/>
              </w:rPr>
              <w:t>Вознаграждение: получение статуса Участника «Сколково»</w:t>
            </w:r>
          </w:p>
        </w:tc>
        <w:tc>
          <w:tcPr>
            <w:tcW w:type="dxa" w:w="2835"/>
            <w:shd w:fill="fafafa" w:val="clear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2563EB"/>
                <w:sz w:val="20"/>
              </w:rPr>
              <w:t>550 000 ₽</w:t>
            </w:r>
          </w:p>
        </w:tc>
      </w:tr>
      <w:tr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color w:val="7C3AED"/>
                <w:sz w:val="20"/>
              </w:rPr>
              <w:t>Вознаграждение: включение в реестр МТК</w:t>
            </w:r>
          </w:p>
        </w:tc>
        <w:tc>
          <w:tcPr>
            <w:tcW w:type="dxa" w:w="2835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7C3AED"/>
                <w:sz w:val="20"/>
              </w:rPr>
              <w:t>150 000 ₽</w:t>
            </w:r>
          </w:p>
        </w:tc>
      </w:tr>
    </w:tbl>
    <w:p/>
    <w:tbl>
      <w:tblPr>
        <w:tblBorders>
          <w:top w:val="single" w:sz="8" w:space="0" w:color="fecaca"/>
          <w:bottom w:val="single" w:sz="8" w:space="0" w:color="fecaca"/>
          <w:left w:val="single" w:sz="8" w:space="0" w:color="fecaca"/>
          <w:right w:val="single" w:sz="8" w:space="0" w:color="fecaca"/>
        </w:tblBorders>
      </w:tblPr>
      <w:tblGrid>
        <w:gridCol w:w="9406"/>
      </w:tblGrid>
      <w:tr>
        <w:tc>
          <w:tcPr>
            <w:tcW w:type="dxa" w:w="7937"/>
            <w:shd w:fill="fef2f2" w:val="clear"/>
          </w:tcPr>
          <w:p>
            <w:pPr>
              <w:spacing w:before="160" w:after="160"/>
              <w:jc w:val="center"/>
            </w:pPr>
            <w:r/>
            <w:r>
              <w:rPr>
                <w:rFonts w:ascii="Calibri" w:hAnsi="Calibri"/>
                <w:b/>
                <w:color w:val="DC2626"/>
                <w:sz w:val="22"/>
              </w:rPr>
              <w:t>ИТОГО ПРИ УСПЕШНОМ ПРОХОЖДЕНИИ ВСЕХ ЭТАПОВ: 1 040 000 ₽</w:t>
              <w:br/>
              <w:t>Авансовая часть: 340 000 ₽ (250 000 + 90 000) · Success fee: 700 000 ₽ (550 000 + 150 000)</w:t>
            </w:r>
          </w:p>
        </w:tc>
      </w:tr>
    </w:tbl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Условия: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Договор заключается на 3 подачи (обычно хватает 2).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Переподача свыше 3 раз — 25 000 ₽ за каждую.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НДС не облагается (УСН).</w:t>
      </w:r>
    </w:p>
    <w:p>
      <w:pPr>
        <w:pStyle w:val="ListBullet"/>
        <w:spacing w:after="40"/>
      </w:pPr>
      <w:r>
        <w:rPr>
          <w:rFonts w:ascii="Calibri" w:hAnsi="Calibri"/>
          <w:color w:val="1E293B"/>
          <w:sz w:val="21"/>
        </w:rPr>
        <w:t>Оплата вознаграждения — после получения положительного результата (протокол Сколково / включение в МТК).</w:t>
      </w:r>
    </w:p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160" w:line="276" w:lineRule="auto"/>
      </w:pPr>
      <w:r>
        <w:rPr>
          <w:rFonts w:ascii="Calibri" w:hAnsi="Calibri"/>
          <w:b/>
          <w:color w:val="1E293B"/>
          <w:sz w:val="26"/>
        </w:rPr>
        <w:t>6. ЧТО ПОЛУЧАЕТ КОМПАНИЯ</w:t>
      </w:r>
    </w:p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БЛОК I — Гарантированные льготы (без конкурсов):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Налог на прибыль — 0% (на 10 лет)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Налог на имущество — 0% (на 10 лет)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Страховые взносы — 15% (на зп свыше 1,5×МРОТ)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НДС — 0% (опционально)</w:t>
      </w:r>
    </w:p>
    <w:p>
      <w:pPr>
        <w:pStyle w:val="ListBullet"/>
        <w:spacing w:after="40"/>
      </w:pPr>
      <w:r>
        <w:rPr>
          <w:rFonts w:ascii="Calibri" w:hAnsi="Calibri"/>
          <w:color w:val="16A34A"/>
          <w:sz w:val="21"/>
        </w:rPr>
        <w:t>При покупке оборудования и комплектующих из-за рубежа — НДС и пошлина 0%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БЛОК II — Через конкурсы (гранты):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1"/>
        </w:rPr>
        <w:t>Гранты Сколково от 1,5 до 50 млн ₽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1"/>
        </w:rPr>
        <w:t>Дополнительные баллы при участии в грантах ФСИ</w:t>
      </w:r>
    </w:p>
    <w:p>
      <w:pPr>
        <w:pStyle w:val="ListBullet"/>
        <w:spacing w:after="40"/>
      </w:pPr>
      <w:r>
        <w:rPr>
          <w:rFonts w:ascii="Calibri" w:hAnsi="Calibri"/>
          <w:color w:val="2563EB"/>
          <w:sz w:val="21"/>
        </w:rPr>
        <w:t>Ускоренная процедура получения статуса МТК</w:t>
      </w:r>
    </w:p>
    <w:p/>
    <w:p>
      <w:pPr>
        <w:spacing w:after="80" w:before="0" w:line="276" w:lineRule="auto"/>
      </w:pPr>
      <w:r>
        <w:rPr>
          <w:rFonts w:ascii="Calibri" w:hAnsi="Calibri"/>
          <w:b/>
          <w:color w:val="1E293B"/>
          <w:sz w:val="21"/>
        </w:rPr>
        <w:t>БЛОК III — Бонусы для МТК: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Специальные кредитные программы от 3% до 12% годовых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Дополнительные баллы в грантах ФСИ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Сниженные требования для участия в конкурсе ЦПИИ</w:t>
      </w:r>
    </w:p>
    <w:p>
      <w:pPr>
        <w:pStyle w:val="ListBullet"/>
        <w:spacing w:after="40"/>
      </w:pPr>
      <w:r>
        <w:rPr>
          <w:rFonts w:ascii="Calibri" w:hAnsi="Calibri"/>
          <w:color w:val="7C3AED"/>
          <w:sz w:val="21"/>
        </w:rPr>
        <w:t>Преимущества при участии в торгах по 223-ФЗ и 44-ФЗ</w:t>
      </w:r>
    </w:p>
    <w:p/>
    <w:tbl>
      <w:tblPr>
        <w:tblBorders>
          <w:top w:val="single" w:sz="8" w:space="0" w:color="86efac"/>
          <w:bottom w:val="single" w:sz="8" w:space="0" w:color="86efac"/>
          <w:left w:val="single" w:sz="8" w:space="0" w:color="86efac"/>
          <w:right w:val="single" w:sz="8" w:space="0" w:color="86efac"/>
        </w:tblBorders>
      </w:tblPr>
      <w:tblGrid>
        <w:gridCol w:w="9406"/>
      </w:tblGrid>
      <w:tr>
        <w:tc>
          <w:tcPr>
            <w:tcW w:type="dxa" w:w="7937"/>
            <w:shd w:fill="f0fdf4" w:val="clear"/>
          </w:tcPr>
          <w:p>
            <w:pPr>
              <w:spacing w:before="160" w:after="160"/>
              <w:jc w:val="center"/>
            </w:pPr>
            <w:r/>
            <w:r>
              <w:rPr>
                <w:rFonts w:ascii="Calibri" w:hAnsi="Calibri"/>
                <w:b/>
                <w:color w:val="16A34A"/>
                <w:sz w:val="22"/>
              </w:rPr>
              <w:t>Окупаемость наших услуг: 3–6 месяцев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color w:val="CBD5E1"/>
          <w:sz w:val="12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160" w:line="276" w:lineRule="auto"/>
      </w:pPr>
      <w:r>
        <w:rPr>
          <w:rFonts w:ascii="Calibri" w:hAnsi="Calibri"/>
          <w:color w:val="000000"/>
          <w:sz w:val="21"/>
        </w:rPr>
        <w:t>Будем рады ответить на Ваши вопросы по телефону +7 916 770-25-55 или по электронной почте info@andromedaconsult.ru. Благодарим Вас за внимание, мы открыты к сотрудничеству!</w:t>
      </w:r>
    </w:p>
    <w:p>
      <w:pPr>
        <w:spacing w:after="40" w:before="0" w:line="276" w:lineRule="auto"/>
      </w:pPr>
      <w:r>
        <w:rPr>
          <w:rFonts w:ascii="Calibri" w:hAnsi="Calibri"/>
          <w:color w:val="000000"/>
          <w:sz w:val="21"/>
        </w:rPr>
        <w:t>С уважением,</w:t>
      </w:r>
    </w:p>
    <w:p>
      <w:pPr>
        <w:spacing w:after="40" w:before="0" w:line="276" w:lineRule="auto"/>
      </w:pPr>
      <w:r>
        <w:rPr>
          <w:rFonts w:ascii="Calibri" w:hAnsi="Calibri"/>
          <w:b/>
          <w:color w:val="1E293B"/>
          <w:sz w:val="21"/>
        </w:rPr>
        <w:t>Генеральный директор, Анна Наумова</w:t>
      </w:r>
    </w:p>
    <w:p>
      <w:pPr>
        <w:spacing w:after="120" w:before="0" w:line="276" w:lineRule="auto"/>
      </w:pPr>
      <w:r>
        <w:rPr>
          <w:rFonts w:ascii="Calibri" w:hAnsi="Calibri"/>
          <w:color w:val="475569"/>
          <w:sz w:val="20"/>
        </w:rPr>
        <w:t>ООО «Андромеда консалтинг»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