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67788"/>
          <w:sz w:val="16"/>
        </w:rPr>
        <w:t>КОНСАЛТИНГОВАЯ КОМПАНИЯ ANDROMEDA CONSULT</w:t>
        <w:br/>
        <w:t>ИНН 7702464831 | ОГРН 1197746181038 | КПП 770201001</w:t>
        <w:br/>
        <w:t>info@andromedaconsult.ru | andromedaconsult.ru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pPr>
        <w:jc w:val="center"/>
      </w:pPr>
      <w:r>
        <w:rPr>
          <w:sz w:val="20"/>
        </w:rPr>
        <w:t>на получение статуса резидента Фонда «Сколково»</w:t>
      </w:r>
    </w:p>
    <w:p/>
    <w:p>
      <w:r>
        <w:rPr>
          <w:b/>
        </w:rPr>
        <w:t xml:space="preserve">Клиент: </w:t>
      </w:r>
      <w:r>
        <w:t>ООО «Молмашстрой» (ИНН 6658116090)</w:t>
      </w:r>
    </w:p>
    <w:p>
      <w:r>
        <w:rPr>
          <w:b/>
        </w:rPr>
        <w:t xml:space="preserve">Руководитель: </w:t>
      </w:r>
      <w:r>
        <w:t>Волошин Николай Анатольевич</w:t>
      </w:r>
    </w:p>
    <w:p/>
    <w:p>
      <w:r>
        <w:rPr>
          <w:b/>
          <w:sz w:val="24"/>
        </w:rPr>
        <w:t>1. Текущее состояние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Показатель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Примечание</w:t>
            </w:r>
          </w:p>
        </w:tc>
      </w:tr>
      <w:tr>
        <w:tc>
          <w:tcPr>
            <w:tcW w:type="dxa" w:w="2880"/>
          </w:tcPr>
          <w:p>
            <w:r>
              <w:t>Выручка</w:t>
            </w:r>
          </w:p>
        </w:tc>
        <w:tc>
          <w:tcPr>
            <w:tcW w:type="dxa" w:w="2880"/>
          </w:tcPr>
          <w:p>
            <w:r>
              <w:t>144 млн ₽</w:t>
            </w:r>
          </w:p>
        </w:tc>
        <w:tc>
          <w:tcPr>
            <w:tcW w:type="dxa" w:w="2880"/>
          </w:tcPr>
          <w:p>
            <w:r>
              <w:t>За последний отчётный период</w:t>
            </w:r>
          </w:p>
        </w:tc>
      </w:tr>
      <w:tr>
        <w:tc>
          <w:tcPr>
            <w:tcW w:type="dxa" w:w="2880"/>
          </w:tcPr>
          <w:p>
            <w:r>
              <w:t>ОКВЭД</w:t>
            </w:r>
          </w:p>
        </w:tc>
        <w:tc>
          <w:tcPr>
            <w:tcW w:type="dxa" w:w="2880"/>
          </w:tcPr>
          <w:p>
            <w:r>
              <w:t>28.93</w:t>
            </w:r>
          </w:p>
        </w:tc>
        <w:tc>
          <w:tcPr>
            <w:tcW w:type="dxa" w:w="2880"/>
          </w:tcPr>
          <w:p>
            <w:r>
              <w:t>Производственное оборудование</w:t>
            </w:r>
          </w:p>
        </w:tc>
      </w:tr>
      <w:tr>
        <w:tc>
          <w:tcPr>
            <w:tcW w:type="dxa" w:w="2880"/>
          </w:tcPr>
          <w:p>
            <w:r>
              <w:t>Налоговый режим</w:t>
            </w:r>
          </w:p>
        </w:tc>
        <w:tc>
          <w:tcPr>
            <w:tcW w:type="dxa" w:w="2880"/>
          </w:tcPr>
          <w:p>
            <w:r>
              <w:t>ОСН</w:t>
            </w:r>
          </w:p>
        </w:tc>
        <w:tc>
          <w:tcPr>
            <w:tcW w:type="dxa" w:w="2880"/>
          </w:tcPr>
          <w:p>
            <w:r>
              <w:t>Подходит для Сколково</w:t>
            </w:r>
          </w:p>
        </w:tc>
      </w:tr>
      <w:tr>
        <w:tc>
          <w:tcPr>
            <w:tcW w:type="dxa" w:w="2880"/>
          </w:tcPr>
          <w:p>
            <w:r>
              <w:t>Сотрудники</w:t>
            </w:r>
          </w:p>
        </w:tc>
        <w:tc>
          <w:tcPr>
            <w:tcW w:type="dxa" w:w="2880"/>
          </w:tcPr>
          <w:p>
            <w:r>
              <w:t>48 чел.</w:t>
            </w:r>
          </w:p>
        </w:tc>
        <w:tc>
          <w:tcPr>
            <w:tcW w:type="dxa" w:w="2880"/>
          </w:tcPr>
          <w:p>
            <w:r>
              <w:t>Производственный штат</w:t>
            </w:r>
          </w:p>
        </w:tc>
      </w:tr>
    </w:tbl>
    <w:p/>
    <w:p>
      <w:r>
        <w:rPr>
          <w:b/>
          <w:sz w:val="24"/>
        </w:rPr>
        <w:t>2. Налоговая экономия</w:t>
      </w:r>
    </w:p>
    <w:p>
      <w:r>
        <w:rPr>
          <w:sz w:val="20"/>
        </w:rPr>
        <w:t>• Налог на прибыль 0% (вместо 20%)</w:t>
        <w:br/>
        <w:t>• Страховые взносы 15% (вместо 30%)</w:t>
        <w:br/>
        <w:t>• Освобождение от налога на имущество</w:t>
        <w:br/>
        <w:br/>
        <w:t>Итого годовая экономия: ~2 млн ₽</w:t>
        <w:br/>
        <w:t>Прогноз на 10 лет: ~20 млн ₽</w:t>
      </w:r>
    </w:p>
    <w:p/>
    <w:p>
      <w:r>
        <w:rPr>
          <w:b/>
          <w:sz w:val="24"/>
        </w:rPr>
        <w:t>3. Стоимость услуг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Услуга</w:t>
            </w:r>
          </w:p>
        </w:tc>
        <w:tc>
          <w:tcPr>
            <w:tcW w:type="dxa" w:w="4320"/>
          </w:tcPr>
          <w:p>
            <w:r>
              <w:t>Стоимость</w:t>
            </w:r>
          </w:p>
        </w:tc>
      </w:tr>
      <w:tr>
        <w:tc>
          <w:tcPr>
            <w:tcW w:type="dxa" w:w="4320"/>
          </w:tcPr>
          <w:p>
            <w:r>
              <w:t>Формирование пакета (аванс)</w:t>
            </w:r>
          </w:p>
        </w:tc>
        <w:tc>
          <w:tcPr>
            <w:tcW w:type="dxa" w:w="4320"/>
          </w:tcPr>
          <w:p>
            <w:r>
              <w:t>250 000 ₽</w:t>
            </w:r>
          </w:p>
        </w:tc>
      </w:tr>
      <w:tr>
        <w:tc>
          <w:tcPr>
            <w:tcW w:type="dxa" w:w="4320"/>
          </w:tcPr>
          <w:p>
            <w:r>
              <w:t>Success fee Сколково</w:t>
            </w:r>
          </w:p>
        </w:tc>
        <w:tc>
          <w:tcPr>
            <w:tcW w:type="dxa" w:w="4320"/>
          </w:tcPr>
          <w:p>
            <w:r>
              <w:t>500 000 ₽</w:t>
            </w:r>
          </w:p>
        </w:tc>
      </w:tr>
      <w:tr>
        <w:tc>
          <w:tcPr>
            <w:tcW w:type="dxa" w:w="4320"/>
          </w:tcPr>
          <w:p>
            <w:r>
              <w:t>Success fee МТК</w:t>
            </w:r>
          </w:p>
        </w:tc>
        <w:tc>
          <w:tcPr>
            <w:tcW w:type="dxa" w:w="4320"/>
          </w:tcPr>
          <w:p>
            <w:r>
              <w:t>150 000 ₽</w:t>
            </w:r>
          </w:p>
        </w:tc>
      </w:tr>
      <w:tr>
        <w:tc>
          <w:tcPr>
            <w:tcW w:type="dxa" w:w="4320"/>
          </w:tcPr>
          <w:p>
            <w:r>
              <w:t>Патент (доп.)</w:t>
            </w:r>
          </w:p>
        </w:tc>
        <w:tc>
          <w:tcPr>
            <w:tcW w:type="dxa" w:w="4320"/>
          </w:tcPr>
          <w:p>
            <w:r>
              <w:t>80 000 ₽</w:t>
            </w:r>
          </w:p>
        </w:tc>
      </w:tr>
    </w:tbl>
    <w:p/>
    <w:p>
      <w:r>
        <w:rPr>
          <w:b/>
          <w:sz w:val="24"/>
        </w:rPr>
        <w:t>4. Дорожная карта</w:t>
      </w:r>
    </w:p>
    <w:p>
      <w:r>
        <w:rPr>
          <w:sz w:val="20"/>
        </w:rPr>
        <w:t>1. Анализ — 1-2 дня</w:t>
        <w:br/>
        <w:t>2. Подача заявки — 2-3 нед.</w:t>
        <w:br/>
        <w:t>3. Получение статуса — 2-3 мес.</w:t>
        <w:br/>
        <w:t>4. Патент — 4-5 мес.</w:t>
        <w:br/>
        <w:t>5. Отчётность — ежеквартально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