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КОНСАЛТИНГОВАЯ КОМПАНИЯ ANDROMEDA CONSULT</w:t>
      </w:r>
    </w:p>
    <w:p>
      <w:pPr>
        <w:jc w:val="center"/>
      </w:pPr>
      <w:r>
        <w:rPr>
          <w:sz w:val="16"/>
        </w:rPr>
        <w:t>ИНН 7702464831 | ОГРН 1197746181038 | info@andromedaconsult.ru | andromedaconsult.ru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r>
        <w:t>Кому: ООО "АСВ-ПРОМ"</w:t>
      </w:r>
    </w:p>
    <w:p>
      <w:r>
        <w:t>В лице: Ещенко Ирина Николаевна</w:t>
      </w:r>
    </w:p>
    <w:p>
      <w:r>
        <w:t>От: Консалтинговая компания ANDROMEDA CONSULT</w:t>
      </w:r>
    </w:p>
    <w:p>
      <w:r>
        <w:rPr>
          <w:b/>
          <w:sz w:val="24"/>
        </w:rPr>
        <w:t>1. Цель предложения</w:t>
      </w:r>
    </w:p>
    <w:p>
      <w:r>
        <w:t>Получение статуса экстерриториального резидента Фонда «Сколково» для компании ООО "АСВ-ПРОМ" с целью применения налоговых льгот, предусмотренных Налоговым кодексом РФ.</w:t>
      </w:r>
    </w:p>
    <w:p>
      <w:r>
        <w:rPr>
          <w:b/>
          <w:sz w:val="24"/>
        </w:rPr>
        <w:t>2. Налоговые льготы резидента Сколково</w:t>
      </w:r>
    </w:p>
    <w:p>
      <w:r>
        <w:t>- 0% налог на прибыль (вместо 20%)</w:t>
      </w:r>
    </w:p>
    <w:p>
      <w:r>
        <w:t>- 15% страховые взносы (вместо 30%) с порогом 1,5× МРОТ</w:t>
      </w:r>
    </w:p>
    <w:p>
      <w:r>
        <w:t>- Освобождение от налога на имущество и таможенных пошлин</w:t>
      </w:r>
    </w:p>
    <w:p>
      <w:r>
        <w:t>Примечание: при ОСН — полный объём льгот доступен</w:t>
      </w:r>
    </w:p>
    <w:p>
      <w:r>
        <w:rPr>
          <w:b/>
          <w:sz w:val="24"/>
        </w:rPr>
        <w:t>3. Экономический эффект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Выручка (2025)</w:t>
            </w:r>
          </w:p>
        </w:tc>
        <w:tc>
          <w:tcPr>
            <w:tcW w:type="dxa" w:w="4320"/>
          </w:tcPr>
          <w:p>
            <w:r>
              <w:t>35,2 млн ₽</w:t>
            </w:r>
          </w:p>
        </w:tc>
      </w:tr>
      <w:tr>
        <w:tc>
          <w:tcPr>
            <w:tcW w:type="dxa" w:w="4320"/>
          </w:tcPr>
          <w:p>
            <w:r>
              <w:t>Экономия в год</w:t>
            </w:r>
          </w:p>
        </w:tc>
        <w:tc>
          <w:tcPr>
            <w:tcW w:type="dxa" w:w="4320"/>
          </w:tcPr>
          <w:p>
            <w:r>
              <w:t>~0,2 млн ₽</w:t>
            </w:r>
          </w:p>
        </w:tc>
      </w:tr>
      <w:tr>
        <w:tc>
          <w:tcPr>
            <w:tcW w:type="dxa" w:w="4320"/>
          </w:tcPr>
          <w:p>
            <w:r>
              <w:t>Экономия за 10 лет</w:t>
            </w:r>
          </w:p>
        </w:tc>
        <w:tc>
          <w:tcPr>
            <w:tcW w:type="dxa" w:w="4320"/>
          </w:tcPr>
          <w:p>
            <w:r>
              <w:t>~2 млн ₽</w:t>
            </w:r>
          </w:p>
        </w:tc>
      </w:tr>
    </w:tbl>
    <w:p>
      <w:r>
        <w:t>Расчёт носит оценочный характер. Точный расчёт — после предоставления данных клиентом.</w:t>
      </w:r>
    </w:p>
    <w:p>
      <w:r>
        <w:rPr>
          <w:b/>
          <w:sz w:val="24"/>
        </w:rPr>
        <w:t>4. Стоимость услуг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Аванс</w:t>
            </w:r>
          </w:p>
        </w:tc>
        <w:tc>
          <w:tcPr>
            <w:tcW w:type="dxa" w:w="4320"/>
          </w:tcPr>
          <w:p>
            <w:r>
              <w:t>250 000 ₽</w:t>
            </w:r>
          </w:p>
        </w:tc>
      </w:tr>
      <w:tr>
        <w:tc>
          <w:tcPr>
            <w:tcW w:type="dxa" w:w="4320"/>
          </w:tcPr>
          <w:p>
            <w:r>
              <w:t>Success fee — Сколково</w:t>
            </w:r>
          </w:p>
        </w:tc>
        <w:tc>
          <w:tcPr>
            <w:tcW w:type="dxa" w:w="4320"/>
          </w:tcPr>
          <w:p>
            <w:r>
              <w:t>500 000 ₽</w:t>
            </w:r>
          </w:p>
        </w:tc>
      </w:tr>
      <w:tr>
        <w:tc>
          <w:tcPr>
            <w:tcW w:type="dxa" w:w="4320"/>
          </w:tcPr>
          <w:p>
            <w:r>
              <w:t>Success fee — МТК (при необходимости)</w:t>
            </w:r>
          </w:p>
        </w:tc>
        <w:tc>
          <w:tcPr>
            <w:tcW w:type="dxa" w:w="4320"/>
          </w:tcPr>
          <w:p>
            <w:r>
              <w:t>150 000 ₽</w:t>
            </w:r>
          </w:p>
        </w:tc>
      </w:tr>
      <w:tr>
        <w:tc>
          <w:tcPr>
            <w:tcW w:type="dxa" w:w="4320"/>
          </w:tcPr>
          <w:p>
            <w:r>
              <w:t>Патент на полезную модель (опционально)</w:t>
            </w:r>
          </w:p>
        </w:tc>
        <w:tc>
          <w:tcPr>
            <w:tcW w:type="dxa" w:w="4320"/>
          </w:tcPr>
          <w:p>
            <w:r>
              <w:t>80 000 ₽</w:t>
            </w:r>
          </w:p>
        </w:tc>
      </w:tr>
      <w:tr>
        <w:tc>
          <w:tcPr>
            <w:tcW w:type="dxa" w:w="4320"/>
          </w:tcPr>
          <w:p>
            <w:r>
              <w:t>Срок</w:t>
            </w:r>
          </w:p>
        </w:tc>
        <w:tc>
          <w:tcPr>
            <w:tcW w:type="dxa" w:w="4320"/>
          </w:tcPr>
          <w:p>
            <w:r>
              <w:t>12 месяцев</w:t>
            </w:r>
          </w:p>
        </w:tc>
      </w:tr>
    </w:tbl>
    <w:p>
      <w:r>
        <w:rPr>
          <w:b/>
          <w:sz w:val="24"/>
        </w:rPr>
        <w:t>5. Дорожная карта</w:t>
      </w:r>
    </w:p>
    <w:p>
      <w:r>
        <w:t>1. Заключение договора и оплата аванса — 1-3 дня</w:t>
      </w:r>
    </w:p>
    <w:p>
      <w:r>
        <w:t>2. Сбор документов и подготовка заявки — 2-3 недели</w:t>
      </w:r>
    </w:p>
    <w:p>
      <w:r>
        <w:t>3. Подача заявки в Фонд «Сколково» — 1 день</w:t>
      </w:r>
    </w:p>
    <w:p>
      <w:r>
        <w:t>4. Экспертиза заявки — до 2-3 месяцев</w:t>
      </w:r>
    </w:p>
    <w:p>
      <w:r>
        <w:t>5. Получение статуса резидента — 3-4 месяца с момента начала работ</w:t>
      </w:r>
    </w:p>
    <w:p>
      <w:r>
        <w:rPr>
          <w:b/>
          <w:sz w:val="24"/>
        </w:rPr>
        <w:t>6. Контакты</w:t>
      </w:r>
    </w:p>
    <w:p>
      <w:r>
        <w:t>ANDROMEDA CONSULT</w:t>
      </w:r>
    </w:p>
    <w:p>
      <w: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