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28"/>
        </w:rPr>
        <w:t>КОНСАЛТИНГОВАЯ КОМПАНИЯ ANDROMEDA CONSULT</w:t>
      </w:r>
    </w:p>
    <w:p>
      <w:pPr>
        <w:jc w:val="center"/>
      </w:pPr>
      <w:r>
        <w:rPr>
          <w:color w:val="666666"/>
          <w:sz w:val="18"/>
        </w:rPr>
        <w:t>ИНН 7702464831 | ОГРН 1197746181038 | КПП 770201001</w:t>
      </w:r>
    </w:p>
    <w:p>
      <w:pPr>
        <w:jc w:val="center"/>
      </w:pPr>
      <w:r>
        <w:rPr>
          <w:color w:val="666666"/>
          <w:sz w:val="18"/>
        </w:rPr>
        <w:t>info@andromedaconsult.ru | andromedaconsult.ru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8"/>
        </w:rPr>
        <w:t>Анкета клиента — ООО «СКБ МТ»</w:t>
      </w:r>
    </w:p>
    <w:p/>
    <w:p>
      <w:pPr>
        <w:spacing w:before="200"/>
      </w:pPr>
      <w:r>
        <w:rPr>
          <w:b/>
          <w:color w:val="B8860B"/>
          <w:sz w:val="22"/>
        </w:rPr>
        <w:t>Цветовая легенда</w:t>
      </w:r>
    </w:p>
    <w:p>
      <w:pPr>
        <w:pStyle w:val="ListBullet"/>
        <w:spacing w:after="40"/>
      </w:pPr>
      <w:r>
        <w:t>Выручка, ИНН, ОГРН, адрес — данные из открытых источников (list-org.com, ФНС)</w:t>
      </w:r>
    </w:p>
    <w:p>
      <w:pPr>
        <w:pStyle w:val="ListBullet"/>
        <w:spacing w:after="40"/>
      </w:pPr>
      <w:r>
        <w:t>Система налогообложения — подтверждена: ОСН (уплата НДС 27,3 млн ₽ за 2025)</w:t>
      </w:r>
    </w:p>
    <w:p>
      <w:pPr>
        <w:pStyle w:val="ListBullet"/>
        <w:spacing w:after="40"/>
      </w:pPr>
      <w:r>
        <w:t>Руководитель — подтверждено из открытых источников</w:t>
      </w:r>
    </w:p>
    <w:p/>
    <w:p>
      <w:pPr>
        <w:spacing w:before="200"/>
      </w:pPr>
      <w:r>
        <w:rPr>
          <w:b/>
          <w:color w:val="B8860B"/>
          <w:sz w:val="22"/>
        </w:rPr>
        <w:t>Реквизиты компании</w:t>
      </w:r>
    </w:p>
    <w:p>
      <w:pPr>
        <w:pStyle w:val="ListBullet"/>
        <w:spacing w:after="40"/>
      </w:pPr>
      <w:r>
        <w:rPr>
          <w:b/>
        </w:rPr>
        <w:t xml:space="preserve">ИНН / КПП / ОГРН: </w:t>
      </w:r>
      <w:r>
        <w:t>4312143308 / 431201001 / 1104312001331</w:t>
      </w:r>
    </w:p>
    <w:p>
      <w:pPr>
        <w:pStyle w:val="ListBullet"/>
        <w:spacing w:after="40"/>
      </w:pPr>
      <w:r>
        <w:rPr>
          <w:b/>
        </w:rPr>
        <w:t xml:space="preserve">Полное наименование: </w:t>
      </w:r>
      <w:r>
        <w:t>ООО «Специальное конструкторское бюро медицинской тематики»</w:t>
      </w:r>
    </w:p>
    <w:p>
      <w:pPr>
        <w:pStyle w:val="ListBullet"/>
        <w:spacing w:after="40"/>
      </w:pPr>
      <w:r>
        <w:rPr>
          <w:b/>
        </w:rPr>
        <w:t xml:space="preserve">Дата регистрации: </w:t>
      </w:r>
      <w:r>
        <w:t>31.08.2010</w:t>
      </w:r>
    </w:p>
    <w:p>
      <w:pPr>
        <w:pStyle w:val="ListBullet"/>
        <w:spacing w:after="40"/>
      </w:pPr>
      <w:r>
        <w:rPr>
          <w:b/>
        </w:rPr>
        <w:t xml:space="preserve">Адрес: </w:t>
      </w:r>
      <w:r>
        <w:t>613040, Кировская область, г. Кирово-Чепецк, пер. Пожарный, д. 7</w:t>
      </w:r>
    </w:p>
    <w:p>
      <w:pPr>
        <w:pStyle w:val="ListBullet"/>
        <w:spacing w:after="40"/>
      </w:pPr>
      <w:r>
        <w:rPr>
          <w:b/>
        </w:rPr>
        <w:t xml:space="preserve">Руководитель: </w:t>
      </w:r>
      <w:r>
        <w:t>Анисимов Андрей Николаевич</w:t>
      </w:r>
    </w:p>
    <w:p>
      <w:pPr>
        <w:pStyle w:val="ListBullet"/>
        <w:spacing w:after="40"/>
      </w:pPr>
      <w:r>
        <w:rPr>
          <w:b/>
        </w:rPr>
        <w:t xml:space="preserve">Учредители: </w:t>
      </w:r>
      <w:r>
        <w:t>Евдокимов Сергей Васильевич — 81%, Анисимов Андрей Николаевич — 19%</w:t>
      </w:r>
    </w:p>
    <w:p>
      <w:pPr>
        <w:pStyle w:val="ListBullet"/>
        <w:spacing w:after="40"/>
      </w:pPr>
      <w:r>
        <w:rPr>
          <w:b/>
        </w:rPr>
        <w:t xml:space="preserve">Уставный капитал: </w:t>
      </w:r>
      <w:r>
        <w:t>12,85 млн ₽</w:t>
      </w:r>
    </w:p>
    <w:p>
      <w:pPr>
        <w:pStyle w:val="ListBullet"/>
        <w:spacing w:after="40"/>
      </w:pPr>
      <w:r>
        <w:rPr>
          <w:b/>
        </w:rPr>
        <w:t xml:space="preserve">Основной ОКВЭД: </w:t>
      </w:r>
      <w:r>
        <w:t>32.5 — Производство медицинских инструментов и оборудования</w:t>
      </w:r>
    </w:p>
    <w:p>
      <w:pPr>
        <w:pStyle w:val="ListBullet"/>
        <w:spacing w:after="40"/>
      </w:pPr>
      <w:r>
        <w:rPr>
          <w:b/>
        </w:rPr>
        <w:t xml:space="preserve">Доп. ОКВЭД: </w:t>
      </w:r>
      <w:r>
        <w:t>22.19, 22.2, 23.99.4, 25.61, 25.62, 72.1</w:t>
      </w:r>
    </w:p>
    <w:p>
      <w:pPr>
        <w:pStyle w:val="ListBullet"/>
        <w:spacing w:after="40"/>
      </w:pPr>
      <w:r>
        <w:rPr>
          <w:b/>
        </w:rPr>
        <w:t xml:space="preserve">Статус МСП: </w:t>
      </w:r>
      <w:r>
        <w:t>Малое предприятие (с 01.08.2016)</w:t>
      </w:r>
    </w:p>
    <w:p>
      <w:pPr>
        <w:pStyle w:val="ListBullet"/>
        <w:spacing w:after="40"/>
      </w:pPr>
      <w:r>
        <w:rPr>
          <w:b/>
        </w:rPr>
        <w:t xml:space="preserve">Численность: </w:t>
      </w:r>
      <w:r>
        <w:t>99 человек</w:t>
      </w:r>
    </w:p>
    <w:p/>
    <w:p>
      <w:pPr>
        <w:spacing w:before="200"/>
      </w:pPr>
      <w:r>
        <w:rPr>
          <w:b/>
          <w:color w:val="B8860B"/>
          <w:sz w:val="22"/>
        </w:rPr>
        <w:t>Финансовые показатели (2025, ФНС)</w:t>
      </w:r>
    </w:p>
    <w:p>
      <w:pPr>
        <w:pStyle w:val="ListBullet"/>
        <w:spacing w:after="40"/>
      </w:pPr>
      <w:r>
        <w:rPr>
          <w:b/>
        </w:rPr>
        <w:t xml:space="preserve">Выручка: </w:t>
      </w:r>
      <w:r>
        <w:t>261,7 млн ₽</w:t>
      </w:r>
    </w:p>
    <w:p>
      <w:pPr>
        <w:pStyle w:val="ListBullet"/>
        <w:spacing w:after="40"/>
      </w:pPr>
      <w:r>
        <w:rPr>
          <w:b/>
        </w:rPr>
        <w:t xml:space="preserve">Чистая прибыль: </w:t>
      </w:r>
      <w:r>
        <w:t>−2,3 млн ₽ (убыток)</w:t>
      </w:r>
    </w:p>
    <w:p>
      <w:pPr>
        <w:pStyle w:val="ListBullet"/>
        <w:spacing w:after="40"/>
      </w:pPr>
      <w:r>
        <w:rPr>
          <w:b/>
        </w:rPr>
        <w:t xml:space="preserve">НДС: </w:t>
      </w:r>
      <w:r>
        <w:t>27,3 млн ₽ — уплачено</w:t>
      </w:r>
    </w:p>
    <w:p>
      <w:pPr>
        <w:pStyle w:val="ListBullet"/>
        <w:spacing w:after="40"/>
      </w:pPr>
      <w:r>
        <w:rPr>
          <w:b/>
        </w:rPr>
        <w:t xml:space="preserve">Налог на прибыль: </w:t>
      </w:r>
      <w:r>
        <w:t>6,5 млн ₽ — уплачено</w:t>
      </w:r>
    </w:p>
    <w:p>
      <w:pPr>
        <w:pStyle w:val="ListBullet"/>
        <w:spacing w:after="40"/>
      </w:pPr>
      <w:r>
        <w:rPr>
          <w:b/>
        </w:rPr>
        <w:t xml:space="preserve">Налог на имущество: </w:t>
      </w:r>
      <w:r>
        <w:t>2,1 млн ₽</w:t>
      </w:r>
    </w:p>
    <w:p>
      <w:pPr>
        <w:pStyle w:val="ListBullet"/>
        <w:spacing w:after="40"/>
      </w:pPr>
      <w:r>
        <w:rPr>
          <w:b/>
        </w:rPr>
        <w:t xml:space="preserve">Страховые взносы ПФР: </w:t>
      </w:r>
      <w:r>
        <w:t>23,4 млн ₽</w:t>
      </w:r>
    </w:p>
    <w:p>
      <w:pPr>
        <w:pStyle w:val="ListBullet"/>
        <w:spacing w:after="40"/>
      </w:pPr>
      <w:r>
        <w:rPr>
          <w:b/>
        </w:rPr>
        <w:t xml:space="preserve">Основные средства: </w:t>
      </w:r>
      <w:r>
        <w:t>361,7 млн ₽</w:t>
      </w:r>
    </w:p>
    <w:p>
      <w:pPr>
        <w:pStyle w:val="ListBullet"/>
        <w:spacing w:after="40"/>
      </w:pPr>
      <w:r>
        <w:rPr>
          <w:b/>
        </w:rPr>
        <w:t xml:space="preserve">Баланс: </w:t>
      </w:r>
      <w:r>
        <w:t>491,8 млн ₽</w:t>
      </w:r>
    </w:p>
    <w:p/>
    <w:p>
      <w:pPr>
        <w:spacing w:before="200"/>
      </w:pPr>
      <w:r>
        <w:rPr>
          <w:b/>
          <w:color w:val="B8860B"/>
          <w:sz w:val="22"/>
        </w:rPr>
        <w:t>Продукция и деятельность</w:t>
      </w:r>
    </w:p>
    <w:p>
      <w:pPr>
        <w:pStyle w:val="ListBullet"/>
        <w:spacing w:after="40"/>
      </w:pPr>
      <w:r>
        <w:t>Каркасы для биологических протезов клапанов сердца (поставки в НМИЦ ССХ им. А.Н. Бакулева — 52 контракта на 511,6 млн ₽)</w:t>
      </w:r>
    </w:p>
    <w:p>
      <w:pPr>
        <w:pStyle w:val="ListBullet"/>
        <w:spacing w:after="40"/>
      </w:pPr>
      <w:r>
        <w:t>Протезы клапанов сердца («ЛИКС-2», «Карбоникс-1», «ТриЛИКС»), протезы кровеносных сосудов</w:t>
      </w:r>
    </w:p>
    <w:p>
      <w:pPr>
        <w:pStyle w:val="ListBullet"/>
        <w:spacing w:after="40"/>
      </w:pPr>
      <w:r>
        <w:t>Медицинские инструменты и оборудование, изделия из фторопласта и углеродных материалов</w:t>
      </w:r>
    </w:p>
    <w:p/>
    <w:p>
      <w:pPr>
        <w:spacing w:before="200"/>
      </w:pPr>
      <w:r>
        <w:rPr>
          <w:b/>
          <w:color w:val="B8860B"/>
          <w:sz w:val="22"/>
        </w:rPr>
        <w:t>Интеллектуальная собственность</w:t>
      </w:r>
    </w:p>
    <w:p>
      <w:pPr>
        <w:pStyle w:val="ListBullet"/>
        <w:spacing w:after="40"/>
      </w:pPr>
      <w:r>
        <w:t>Товарный знак «ТРИЛИКС» (№ 908044, рег. 05.12.2022, действ. до 11.04.2032)</w:t>
      </w:r>
    </w:p>
    <w:p>
      <w:pPr>
        <w:pStyle w:val="ListBullet"/>
        <w:spacing w:after="40"/>
      </w:pPr>
      <w:r>
        <w:t>Лицензия на производство и техническое обслуживание медицинской техники (Л016-00110-77/00567287 от 14.08.2020)</w:t>
      </w:r>
    </w:p>
    <w:p/>
    <w:p>
      <w:pPr>
        <w:spacing w:before="200"/>
      </w:pPr>
      <w:r>
        <w:rPr>
          <w:b/>
          <w:color w:val="B8860B"/>
          <w:sz w:val="22"/>
        </w:rPr>
        <w:t>Примечания</w:t>
      </w:r>
    </w:p>
    <w:p>
      <w:r>
        <w:t>Компания — правопреемник СКБ МТ (г. Кирово-Чепецк), с 1981 г. единственный в СССР промышленный производитель искусственных клапанов сердца. Медицина и медтехника — приоритетное направление Фонда «Сколково». Рекомендуется подача патента на полезную модель (способ изготовления каркаса / конструкция) одновременно с заявкой в Сколково. Кирово-Чепецк не входит в актуальный перечень моногородов (распоряжение Правительства РФ № 469-р от 11.03.2026).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