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Анализ и расчет налоговой экономии</w:t>
        <w:br/>
        <w:t>ООО «МГ-Сервис» (ИНН 7704851642)</w:t>
      </w:r>
    </w:p>
    <w:p>
      <w:pPr>
        <w:jc w:val="center"/>
      </w:pPr>
      <w:r>
        <w:rPr>
          <w:rFonts w:ascii="Calibri" w:hAnsi="Calibri"/>
          <w:b w:val="0"/>
          <w:color w:val="999999"/>
          <w:sz w:val="16"/>
        </w:rPr>
        <w:t>Источники: audit-it.ru, saby.ru, testfirm.ru, rusprofile.ru · 09.07.2026</w:t>
      </w:r>
    </w:p>
    <w:p/>
    <w:p>
      <w:pPr>
        <w:pStyle w:val="Heading2"/>
      </w:pPr>
      <w:r>
        <w:rPr>
          <w:rFonts w:ascii="Calibri" w:hAnsi="Calibri"/>
          <w:color w:val="1B3A5C"/>
        </w:rPr>
        <w:t>1. Основные реквизиты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«МГ-Сервис»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 / 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7704851642 / 5137746144663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115407, г. Москва, ул. Судостроительная, д. 34, корп. 1, с. 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Генеральный директор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Сергейчиков Олег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Учредитель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Нестерова Марина Петровна (100%)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вид деятельности (ОКВЭД)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28.99 — Производство прочих машин и оборудования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2. Финансовые показатели</w:t>
      </w:r>
    </w:p>
    <w:p>
      <w:r>
        <w:rPr>
          <w:rFonts w:ascii="Calibri" w:hAnsi="Calibri"/>
          <w:b/>
          <w:color w:val="555555"/>
          <w:sz w:val="18"/>
        </w:rPr>
        <w:t>Таблица 1. Динамика выручки и прибыли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1045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2018</w:t>
            </w:r>
          </w:p>
        </w:tc>
        <w:tc>
          <w:tcPr>
            <w:tcW w:type="dxa" w:w="1045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2019</w:t>
            </w:r>
          </w:p>
        </w:tc>
        <w:tc>
          <w:tcPr>
            <w:tcW w:type="dxa" w:w="1045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2020</w:t>
            </w:r>
          </w:p>
        </w:tc>
        <w:tc>
          <w:tcPr>
            <w:tcW w:type="dxa" w:w="1045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2021</w:t>
            </w:r>
          </w:p>
        </w:tc>
        <w:tc>
          <w:tcPr>
            <w:tcW w:type="dxa" w:w="1045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2022</w:t>
            </w:r>
          </w:p>
        </w:tc>
        <w:tc>
          <w:tcPr>
            <w:tcW w:type="dxa" w:w="1045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2023</w:t>
            </w:r>
          </w:p>
        </w:tc>
        <w:tc>
          <w:tcPr>
            <w:tcW w:type="dxa" w:w="1045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2024</w:t>
            </w:r>
          </w:p>
        </w:tc>
        <w:tc>
          <w:tcPr>
            <w:tcW w:type="dxa" w:w="1045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Выручка, руб.</w:t>
            </w:r>
          </w:p>
        </w:tc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112 300 000</w:t>
            </w:r>
          </w:p>
        </w:tc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130 100 000</w:t>
            </w:r>
          </w:p>
        </w:tc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140 700 000</w:t>
            </w:r>
          </w:p>
        </w:tc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113 700 000</w:t>
            </w:r>
          </w:p>
        </w:tc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101 600 000</w:t>
            </w:r>
          </w:p>
        </w:tc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210 900 000</w:t>
            </w:r>
          </w:p>
        </w:tc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368 000 000</w:t>
            </w:r>
          </w:p>
        </w:tc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276 549 000</w:t>
            </w:r>
          </w:p>
        </w:tc>
      </w:tr>
      <w:tr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Прибыль, руб.</w:t>
            </w:r>
          </w:p>
        </w:tc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10 700 000</w:t>
            </w:r>
          </w:p>
        </w:tc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100 000</w:t>
            </w:r>
          </w:p>
        </w:tc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1 400 000</w:t>
            </w:r>
          </w:p>
        </w:tc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3 700 000</w:t>
            </w:r>
          </w:p>
        </w:tc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3 200 000</w:t>
            </w:r>
          </w:p>
        </w:tc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15 000 000</w:t>
            </w:r>
          </w:p>
        </w:tc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138 200 000</w:t>
            </w:r>
          </w:p>
        </w:tc>
        <w:tc>
          <w:tcPr>
            <w:tcW w:type="dxa" w:w="104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37 935 000</w:t>
            </w:r>
          </w:p>
        </w:tc>
      </w:tr>
    </w:tbl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 при статусе резидента Сколково</w:t>
      </w:r>
    </w:p>
    <w:p>
      <w:r>
        <w:rPr>
          <w:rFonts w:ascii="Calibri" w:hAnsi="Calibri"/>
          <w:b w:val="0"/>
          <w:sz w:val="20"/>
        </w:rPr>
        <w:t>Статус резидента Фонда «Сколково» предоставляет следующие налоговые льготы:</w:t>
      </w:r>
    </w:p>
    <w:p>
      <w:r>
        <w:rPr>
          <w:rFonts w:ascii="Calibri" w:hAnsi="Calibri"/>
          <w:b w:val="0"/>
          <w:sz w:val="18"/>
        </w:rPr>
        <w:t>• Налог на прибыль — 0% (стандартная ставка 20%)</w:t>
      </w:r>
    </w:p>
    <w:p>
      <w:r>
        <w:rPr>
          <w:rFonts w:ascii="Calibri" w:hAnsi="Calibri"/>
          <w:b w:val="0"/>
          <w:sz w:val="18"/>
        </w:rPr>
        <w:t>• Страховые взносы — 15% (стандартная ставка 30%)</w:t>
      </w:r>
    </w:p>
    <w:p>
      <w:r>
        <w:rPr>
          <w:rFonts w:ascii="Calibri" w:hAnsi="Calibri"/>
          <w:b w:val="0"/>
          <w:sz w:val="18"/>
        </w:rPr>
        <w:t>• Налог на имущество — освобождение (стандартная ставка до 2,2%)</w:t>
      </w:r>
    </w:p>
    <w:p>
      <w:r>
        <w:rPr>
          <w:rFonts w:ascii="Calibri" w:hAnsi="Calibri"/>
          <w:b w:val="0"/>
          <w:sz w:val="18"/>
        </w:rPr>
        <w:t>• НДС — не применяется (компания сохраняет общий режим)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Стандартный режим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Сколково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в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7 587 000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7 587 000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12 096 000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 (оценка)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14 135 000 руб.</w:t>
            </w:r>
          </w:p>
        </w:tc>
      </w:tr>
    </w:tbl>
    <w:p>
      <w:r>
        <w:rPr>
          <w:rFonts w:ascii="Calibri" w:hAnsi="Calibri"/>
          <w:b w:val="0"/>
          <w:color w:val="555555"/>
          <w:sz w:val="18"/>
        </w:rPr>
        <w:t>Обоснование: При текущих показателях выручки 277 млн руб. и прибыли 37.9 млн руб. экономия составляет ≈ 14.1 млн руб./год.</w:t>
      </w:r>
    </w:p>
    <w:p>
      <w:r>
        <w:rPr>
          <w:rFonts w:ascii="Calibri" w:hAnsi="Calibri"/>
          <w:b/>
          <w:color w:val="008000"/>
          <w:sz w:val="20"/>
        </w:rPr>
        <w:t>Прогноз на 10 лет: ≈ 157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Описание деятельности и продукции</w:t>
      </w:r>
    </w:p>
    <w:p>
      <w:r>
        <w:rPr>
          <w:rFonts w:ascii="Calibri" w:hAnsi="Calibri"/>
          <w:b w:val="0"/>
          <w:sz w:val="20"/>
        </w:rPr>
        <w:t>ООО «МГ-Сервис» (Marine Geo Service) — российская производственная компания, основанная в 2006 году, специализирующаяся на разработке и производстве телеуправляемых необитаемых подводных аппаратов (ТНПА), гибридных ТНПА, геофизического оборудования и морских лебёдок.</w:t>
        <w:br/>
        <w:br/>
        <w:t>Основная продукция:</w:t>
        <w:br/>
        <w:t>• Телеуправляемые необитаемые подводные аппараты: МСС-3000, МСС-1000, МСС-350, МагМастер</w:t>
        <w:br/>
        <w:t>• Гибридные ТНПА: Hippocamp, Sleipnir</w:t>
        <w:br/>
        <w:t>• Комплектующие для ТНПА: подводные движители, видеокамеры, светильники, манипуляторы</w:t>
        <w:br/>
        <w:t>• Геофизическое оборудование: контроллеры глубины сейсмических кос, автономные буи</w:t>
        <w:br/>
        <w:t>• Морские лебёдки: кабельные лебёдки ЛК-2000, ЛК-1000</w:t>
        <w:br/>
        <w:t>• Электроника для ТНПА: пульты управления, мультиплексоры, драйверы</w:t>
        <w:br/>
        <w:br/>
        <w:t>Компания имеет собственный научно-технический центр в Геленджике. Является участником 57 тендеров (28 выиграно). Основной заказчик — Морспасслужба (ФГБУ).</w:t>
      </w:r>
    </w:p>
    <w:p/>
    <w:p>
      <w:pPr>
        <w:pStyle w:val="Heading2"/>
      </w:pPr>
      <w:r>
        <w:rPr>
          <w:rFonts w:ascii="Calibri" w:hAnsi="Calibri"/>
          <w:color w:val="1B3A5C"/>
        </w:rPr>
        <w:t>5. Интеллектуальная собственность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Зарегистрированные 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Свидетельства и 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Требуется проверка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marinegeoservice.ru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Госзакупки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Морспасслужба (ФГБУ) — основной заказчик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Задолженность по налогам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 данным ФНС — задолженность отсутствует</w:t>
            </w:r>
          </w:p>
        </w:tc>
      </w:tr>
    </w:tbl>
    <w:p>
      <w:r>
        <w:rPr>
          <w:rFonts w:ascii="Calibri" w:hAnsi="Calibri"/>
          <w:b/>
          <w:color w:val="CC6600"/>
          <w:sz w:val="18"/>
        </w:rPr>
        <w:t>Рекомендация: В рамках подготовки заявки рекомендуется подача заявки на полезную модель по тематике проекта.</w:t>
      </w:r>
    </w:p>
    <w:p/>
    <w:p>
      <w:pPr>
        <w:pStyle w:val="Heading2"/>
      </w:pPr>
      <w:r>
        <w:rPr>
          <w:rFonts w:ascii="Calibri" w:hAnsi="Calibri"/>
          <w:color w:val="1B3A5C"/>
        </w:rPr>
        <w:t>6. Связанные компании</w:t>
      </w:r>
    </w:p>
    <w:p>
      <w:r>
        <w:rPr>
          <w:rFonts w:ascii="Calibri" w:hAnsi="Calibri"/>
          <w:b w:val="0"/>
          <w:sz w:val="20"/>
        </w:rPr>
        <w:t>Учредитель: Нестерова Марина Петровна (100%). Научно-технический центр в г. Геленджик. Компания работает с 2006 года.</w:t>
      </w:r>
    </w:p>
    <w:p/>
    <w:p>
      <w:pPr>
        <w:pStyle w:val="Heading2"/>
      </w:pPr>
      <w:r>
        <w:rPr>
          <w:rFonts w:ascii="Calibri" w:hAnsi="Calibri"/>
          <w:color w:val="1B3A5C"/>
        </w:rPr>
        <w:t>7. Инновационный потенциал и предмет заявки</w:t>
      </w:r>
    </w:p>
    <w:p>
      <w:r>
        <w:rPr>
          <w:rFonts w:ascii="Calibri" w:hAnsi="Calibri"/>
          <w:b/>
          <w:sz w:val="20"/>
        </w:rPr>
        <w:t>Производство телеуправляемых необитаемых подводных аппаратов (ТНПА)</w:t>
      </w:r>
    </w:p>
    <w:p>
      <w:r>
        <w:rPr>
          <w:rFonts w:ascii="Calibri" w:hAnsi="Calibri"/>
          <w:b w:val="0"/>
          <w:sz w:val="20"/>
        </w:rPr>
        <w:t>Разработка и производство телеуправляемых необитаемых подводных аппаратов (ТНПА) и гибридных ТНПА отечественного производства, включая МСС-3000, Hippocamp и Sleipnir — высокотехнологичные роботизированные комплексы для работы на глубинах до 3000 метров. Компания производит полный спектр комплектующих, электроники и ПО для подводной робототехники, обеспечивая импортозамещение в сфере морских технологий.</w:t>
      </w:r>
    </w:p>
    <w:p/>
    <w:p>
      <w:pPr>
        <w:pStyle w:val="Heading2"/>
      </w:pPr>
      <w:r>
        <w:rPr>
          <w:rFonts w:ascii="Calibri" w:hAnsi="Calibri"/>
          <w:color w:val="1B3A5C"/>
        </w:rPr>
        <w:t>8. План действий и вывод</w:t>
      </w:r>
    </w:p>
    <w:p>
      <w:r>
        <w:rPr>
          <w:rFonts w:ascii="Calibri" w:hAnsi="Calibri"/>
          <w:b w:val="0"/>
          <w:sz w:val="18"/>
        </w:rPr>
        <w:t>1. Заключение договора на сопровождение заявки</w:t>
      </w:r>
    </w:p>
    <w:p>
      <w:r>
        <w:rPr>
          <w:rFonts w:ascii="Calibri" w:hAnsi="Calibri"/>
          <w:b w:val="0"/>
          <w:sz w:val="18"/>
        </w:rPr>
        <w:t>2. Подача заявки на полезную модель (4–5 мес.)</w:t>
      </w:r>
    </w:p>
    <w:p>
      <w:r>
        <w:rPr>
          <w:rFonts w:ascii="Calibri" w:hAnsi="Calibri"/>
          <w:b w:val="0"/>
          <w:sz w:val="18"/>
        </w:rPr>
        <w:t>3. Подготовка и подача заявки в Фонд «Сколково»</w:t>
      </w:r>
    </w:p>
    <w:p>
      <w:r>
        <w:rPr>
          <w:rFonts w:ascii="Calibri" w:hAnsi="Calibri"/>
          <w:b w:val="0"/>
          <w:sz w:val="18"/>
        </w:rPr>
        <w:t>4. Получение статуса Участника проекта (средний срок 4–6 мес.)</w:t>
      </w:r>
    </w:p>
    <w:p>
      <w:r>
        <w:rPr>
          <w:rFonts w:ascii="Calibri" w:hAnsi="Calibri"/>
          <w:b w:val="0"/>
          <w:sz w:val="18"/>
        </w:rPr>
        <w:t>5. Ежегодная экономия от 14.1 млн руб. на налогах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color w:val="008000"/>
          <w:sz w:val="20"/>
        </w:rPr>
        <w:t>ВЫВОД: Компания соответствует критериям для получения статуса резидента Сколково. Прогнозируемая налоговая экономия — ≈ 157 млн руб. за 10 лет.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