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ПО «Нефтепром-Сервис»</w:t>
      </w:r>
    </w:p>
    <w:p>
      <w:r>
        <w:t>Уважаемый Александр Вячеславович!</w:t>
      </w:r>
    </w:p>
    <w:p>
      <w:r>
        <w:t>Ваша компания показывает впечатляющие результаты: выручка 964 млн ₽, работа с госзаказчиками, отличная репутация (выиграно 72/72 торгов).</w:t>
      </w:r>
    </w:p>
    <w:p>
      <w:r>
        <w:t>При получении статуса резидента Сколково экономия на страховых взносах (15% вместо 30%) составит порядка 30 млн ₽ ежегодно. За 10 лет — ~310 млн ₽.</w:t>
      </w:r>
    </w:p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