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Анализ и расчет налоговой экономии</w:t>
        <w:br/>
        <w:t>ООО «АЛТАЙ-ЛАВАШ» (ИНН 2222859799)</w:t>
      </w:r>
    </w:p>
    <w:p>
      <w:pPr>
        <w:jc w:val="center"/>
      </w:pPr>
      <w:r>
        <w:rPr>
          <w:color w:val="666666"/>
          <w:sz w:val="16"/>
        </w:rPr>
        <w:t>Источники: audit-it.ru, zachestnyibiznes.ru · 09.07.2026</w:t>
      </w:r>
    </w:p>
    <w:p>
      <w:r>
        <w:rPr>
          <w:b/>
          <w:color w:val="2D2D2D"/>
          <w:sz w:val="22"/>
        </w:rPr>
        <w:t>1. Основные реквизиты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ООО «АЛТАЙ-ЛАВАШ»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ИНН / ОГРН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2222859799 / 1172225026511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656067, Алтайский край, г. Барнаул, тракт Павловский, д. 289а, кв. 107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Генеральный директор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Осетров Евгений Анатольевич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Учредитель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3 физических лица (40%+40%+20%)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Основной вид деятельности (ОКВЭД)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10.71 — Производство хлеба и мучных кондитерских изделий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АУСН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1 чел.</w:t>
            </w:r>
          </w:p>
        </w:tc>
      </w:tr>
    </w:tbl>
    <w:p>
      <w:r>
        <w:rPr>
          <w:b/>
          <w:color w:val="2D2D2D"/>
          <w:sz w:val="22"/>
        </w:rPr>
        <w:t>2. Финансовые показатели</w:t>
      </w:r>
    </w:p>
    <w:p>
      <w:r>
        <w:rPr>
          <w:sz w:val="20"/>
        </w:rPr>
        <w:t>Таблица 1. Динамика выручки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Выручка,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9 200 000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27 700 000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19 400 000</w:t>
            </w:r>
          </w:p>
        </w:tc>
      </w:tr>
    </w:tbl>
    <w:p>
      <w:r>
        <w:rPr>
          <w:b/>
          <w:color w:val="2D2D2D"/>
          <w:sz w:val="22"/>
        </w:rPr>
        <w:t>3. Расчёт налоговой экономии при статусе резидента Сколково</w:t>
      </w:r>
    </w:p>
    <w:p>
      <w:r>
        <w:rPr>
          <w:sz w:val="20"/>
        </w:rPr>
        <w:t>Статус резидента Фонда «Сколково» предоставляет:</w:t>
      </w:r>
    </w:p>
    <w:p>
      <w:r>
        <w:rPr>
          <w:sz w:val="20"/>
        </w:rPr>
        <w:t>• Налог на прибыль — 0% (стандартная ставка 20%)</w:t>
      </w:r>
    </w:p>
    <w:p>
      <w:r>
        <w:rPr>
          <w:sz w:val="20"/>
        </w:rPr>
        <w:t>• Страховые взносы — 15% (стандартная ставка 30%)</w:t>
      </w:r>
    </w:p>
    <w:p>
      <w:r>
        <w:rPr>
          <w:sz w:val="20"/>
        </w:rPr>
        <w:t>• Налог на имущество — освобождение</w:t>
      </w:r>
    </w:p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Стандартный режим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в 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484 000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96 800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90 000 руб.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286 800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экономии за 10 лет: 0–0 млн руб.</w:t>
      </w:r>
    </w:p>
    <w:p>
      <w:r>
        <w:rPr>
          <w:b/>
          <w:color w:val="2D2D2D"/>
          <w:sz w:val="22"/>
        </w:rPr>
        <w:t>4. Описание деятельности</w:t>
      </w:r>
    </w:p>
    <w:p>
      <w:r>
        <w:rPr>
          <w:sz w:val="20"/>
        </w:rPr>
        <w:t>Компания занимается производством хлеба и мучных кондитерских изделий.</w:t>
      </w:r>
    </w:p>
    <w:p>
      <w:r>
        <w:rPr>
          <w:b/>
          <w:color w:val="2D2D2D"/>
          <w:sz w:val="22"/>
        </w:rPr>
        <w:t>5. Интеллектуальная собственность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Зарегистрированные патенты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Не обнаружен</w:t>
            </w:r>
          </w:p>
        </w:tc>
      </w:tr>
    </w:tbl>
    <w:p>
      <w:r>
        <w:rPr>
          <w:sz w:val="20"/>
        </w:rPr>
        <w:t>Рекомендация: В рамках подготовки заявки рекомендуется подача заявки на полезную модель.</w:t>
      </w:r>
    </w:p>
    <w:p>
      <w:r>
        <w:rPr>
          <w:b/>
          <w:color w:val="2D2D2D"/>
          <w:sz w:val="22"/>
        </w:rPr>
        <w:t>6. Инновационный потенциал</w:t>
      </w:r>
    </w:p>
    <w:p>
      <w:r>
        <w:rPr>
          <w:sz w:val="20"/>
        </w:rPr>
        <w:t>Требуется определение совместно с клиентом.</w:t>
      </w:r>
    </w:p>
    <w:p>
      <w:r>
        <w:rPr>
          <w:b/>
          <w:color w:val="2D2D2D"/>
          <w:sz w:val="22"/>
        </w:rPr>
        <w:t>7. План действий</w:t>
      </w:r>
    </w:p>
    <w:p>
      <w:r>
        <w:rPr>
          <w:sz w:val="20"/>
        </w:rPr>
        <w:t>1. Заключение договора на сопровождение заявки</w:t>
      </w:r>
    </w:p>
    <w:p>
      <w:r>
        <w:rPr>
          <w:sz w:val="20"/>
        </w:rPr>
        <w:t>2. Подача заявки на полезную модель (4–5 мес.)</w:t>
      </w:r>
    </w:p>
    <w:p>
      <w:r>
        <w:rPr>
          <w:sz w:val="20"/>
        </w:rPr>
        <w:t>3. Подготовка и подача заявки в Фонд «Сколково»</w:t>
      </w:r>
    </w:p>
    <w:p>
      <w:r>
        <w:rPr>
          <w:sz w:val="20"/>
        </w:rPr>
        <w:t>4. Получение статуса Участника проекта (4–6 мес.)</w:t>
      </w:r>
    </w:p>
    <w:p>
      <w:r>
        <w:rPr>
          <w:sz w:val="20"/>
        </w:rPr>
        <w:t>5. Ежегодная экономия на налогах</w:t>
      </w:r>
    </w:p>
    <w:p>
      <w:r>
        <w:rPr>
          <w:sz w:val="20"/>
        </w:rPr>
      </w:r>
    </w:p>
    <w:p>
      <w:r>
        <w:rPr>
          <w:sz w:val="20"/>
        </w:rPr>
        <w:t>ВЫВОД: Компания требует дополнительного анализа для оценки соответствия критериям Сколково.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