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A5C"/>
          <w:sz w:val="24"/>
        </w:rPr>
        <w:t>КОНСАЛТИНГОВАЯ КОМПАНИЯ</w:t>
      </w:r>
    </w:p>
    <w:p>
      <w:pPr>
        <w:jc w:val="center"/>
      </w:pPr>
      <w:r>
        <w:rPr>
          <w:rFonts w:ascii="Calibri" w:hAnsi="Calibri"/>
          <w:b/>
          <w:color w:val="1B3A5C"/>
          <w:sz w:val="32"/>
        </w:rPr>
        <w:t>ANDROMEDA CONSULT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info@andromedaconsult.ru  |  andromedaconsult.ru  |  @andromedaconsult</w:t>
      </w:r>
    </w:p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b/>
          <w:color w:val="1B3A5C"/>
          <w:sz w:val="28"/>
        </w:rPr>
        <w:t>Анализ и расчет налоговой экономии</w:t>
        <w:br/>
        <w:t>ООО «АМБЕРТИМ» (ИНН 3906364524)</w:t>
      </w:r>
    </w:p>
    <w:p>
      <w:pPr>
        <w:jc w:val="center"/>
      </w:pPr>
      <w:r>
        <w:rPr>
          <w:rFonts w:ascii="Calibri" w:hAnsi="Calibri"/>
          <w:b w:val="0"/>
          <w:color w:val="999999"/>
          <w:sz w:val="16"/>
        </w:rPr>
        <w:t>Источники: audit-it.ru, saby.ru, testfirm.ru, rusprofile.ru · 09.07.2026</w:t>
      </w:r>
    </w:p>
    <w:p/>
    <w:p>
      <w:pPr>
        <w:pStyle w:val="Heading2"/>
      </w:pPr>
      <w:r>
        <w:rPr>
          <w:rFonts w:ascii="Calibri" w:hAnsi="Calibri"/>
          <w:color w:val="1B3A5C"/>
        </w:rPr>
        <w:t>1. Основные реквизиты компании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Полное наименование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ООО «АМБЕРТИМ»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ИНН / ОГРН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3906364524 / 1183926003260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Юридический адрес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236010, г. Калининград, Правая наб., д. 21, пом. 58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Генеральный директор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Матвейчук Константин Игоревич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Учредитель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Дарвин Вячеслав Сергеевич, Матвейчук Константин Игоревич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Основной вид деятельности (ОКВЭД)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32.12.7 — Обработка янтаря и производство изделий из янтаря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Уставный капитал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1 000 000 руб.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Система налогообложения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ОСН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Численность сотрудников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18 чел.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Стоимость имущества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57,4 млн руб. (имущество)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2. Финансовые показатели</w:t>
      </w:r>
    </w:p>
    <w:p>
      <w:r>
        <w:rPr>
          <w:rFonts w:ascii="Calibri" w:hAnsi="Calibri"/>
          <w:b/>
          <w:color w:val="555555"/>
          <w:sz w:val="18"/>
        </w:rPr>
        <w:t>Таблица 1. Динамика выручки и прибыли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188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2022</w:t>
            </w:r>
          </w:p>
        </w:tc>
        <w:tc>
          <w:tcPr>
            <w:tcW w:type="dxa" w:w="188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2023</w:t>
            </w:r>
          </w:p>
        </w:tc>
        <w:tc>
          <w:tcPr>
            <w:tcW w:type="dxa" w:w="188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2024</w:t>
            </w:r>
          </w:p>
        </w:tc>
        <w:tc>
          <w:tcPr>
            <w:tcW w:type="dxa" w:w="188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2025</w:t>
            </w:r>
          </w:p>
        </w:tc>
      </w:tr>
      <w:tr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Выручка, руб.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115 100 000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270 800 000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371 000 000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353 600 000</w:t>
            </w:r>
          </w:p>
        </w:tc>
      </w:tr>
      <w:tr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Прибыль, руб.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88 900 000</w:t>
            </w:r>
          </w:p>
        </w:tc>
        <w:tc>
          <w:tcPr>
            <w:tcW w:type="dxa" w:w="188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60 300 000</w:t>
            </w:r>
          </w:p>
        </w:tc>
      </w:tr>
    </w:tbl>
    <w:p>
      <w:pPr>
        <w:pStyle w:val="Heading2"/>
      </w:pPr>
      <w:r>
        <w:rPr>
          <w:rFonts w:ascii="Calibri" w:hAnsi="Calibri"/>
          <w:color w:val="1B3A5C"/>
        </w:rPr>
        <w:t>3. Расчёт налоговой экономии при статусе резидента Сколково</w:t>
      </w:r>
    </w:p>
    <w:p>
      <w:r>
        <w:rPr>
          <w:rFonts w:ascii="Calibri" w:hAnsi="Calibri"/>
          <w:b w:val="0"/>
          <w:sz w:val="20"/>
        </w:rPr>
        <w:t>Статус резидента Фонда «Сколково» предоставляет следующие налоговые льготы:</w:t>
      </w:r>
    </w:p>
    <w:p>
      <w:r>
        <w:rPr>
          <w:rFonts w:ascii="Calibri" w:hAnsi="Calibri"/>
          <w:b w:val="0"/>
          <w:sz w:val="18"/>
        </w:rPr>
        <w:t>• Налог на прибыль — 0% (стандартная ставка 20%)</w:t>
      </w:r>
    </w:p>
    <w:p>
      <w:r>
        <w:rPr>
          <w:rFonts w:ascii="Calibri" w:hAnsi="Calibri"/>
          <w:b w:val="0"/>
          <w:sz w:val="18"/>
        </w:rPr>
        <w:t>• Страховые взносы — 15% (стандартная ставка 30%)</w:t>
      </w:r>
    </w:p>
    <w:p>
      <w:r>
        <w:rPr>
          <w:rFonts w:ascii="Calibri" w:hAnsi="Calibri"/>
          <w:b w:val="0"/>
          <w:sz w:val="18"/>
        </w:rPr>
        <w:t>• Налог на имущество — освобождение (стандартная ставка до 2,2%)</w:t>
      </w:r>
    </w:p>
    <w:p>
      <w:r>
        <w:rPr>
          <w:rFonts w:ascii="Calibri" w:hAnsi="Calibri"/>
          <w:b w:val="0"/>
          <w:sz w:val="18"/>
        </w:rPr>
        <w:t>• НДС — не применяется (компания сохраняет общий режим)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Стандартный режим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Сколково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Экономия в год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Налог на прибыль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12 060 000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12 060 000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Страховые взносы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3 888 000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1 944 000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1 944 000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Налог на имущество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≈ 500 000 руб. (оценка)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≈ 500 000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14 504 000 руб.</w:t>
            </w:r>
          </w:p>
        </w:tc>
      </w:tr>
    </w:tbl>
    <w:p>
      <w:r>
        <w:rPr>
          <w:rFonts w:ascii="Calibri" w:hAnsi="Calibri"/>
          <w:b w:val="0"/>
          <w:color w:val="555555"/>
          <w:sz w:val="18"/>
        </w:rPr>
        <w:t>Обоснование: При текущих показателях выручки 354 млн руб. и прибыли 60.3 млн руб. экономия составляет ≈ 14.5 млн руб./год.</w:t>
      </w:r>
    </w:p>
    <w:p>
      <w:r>
        <w:rPr>
          <w:rFonts w:ascii="Calibri" w:hAnsi="Calibri"/>
          <w:b/>
          <w:color w:val="008000"/>
          <w:sz w:val="20"/>
        </w:rPr>
        <w:t>Прогноз на 10 лет: 150–200 млн руб.</w:t>
      </w:r>
    </w:p>
    <w:p/>
    <w:p>
      <w:pPr>
        <w:pStyle w:val="Heading2"/>
      </w:pPr>
      <w:r>
        <w:rPr>
          <w:rFonts w:ascii="Calibri" w:hAnsi="Calibri"/>
          <w:color w:val="1B3A5C"/>
        </w:rPr>
        <w:t>4. Описание деятельности и продукции</w:t>
      </w:r>
    </w:p>
    <w:p>
      <w:r>
        <w:rPr>
          <w:rFonts w:ascii="Calibri" w:hAnsi="Calibri"/>
          <w:b w:val="0"/>
          <w:sz w:val="20"/>
        </w:rPr>
        <w:t>Компания занимается обработкой янтаря и производством изделий из янтаря — от калиброванного сырья для ювелирной промышленности до готовых ювелирных изделий. Расположена в Калининграде — единственном регионе России с промышленной добычей янтаря. Компания работает с 2018 года, показала стремительный рост с 23 млн руб. выручки в 2018 году до 370+ млн в 2024-2025.</w:t>
      </w:r>
    </w:p>
    <w:p/>
    <w:p>
      <w:pPr>
        <w:pStyle w:val="Heading2"/>
      </w:pPr>
      <w:r>
        <w:rPr>
          <w:rFonts w:ascii="Calibri" w:hAnsi="Calibri"/>
          <w:color w:val="1B3A5C"/>
        </w:rPr>
        <w:t>5. Интеллектуальная собственность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Зарегистрированные патенты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Не выявлены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Свидетельства и сертификаты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Не выявлены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Сайт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Нет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Госзакупки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Нет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Задолженность по налогам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Нет</w:t>
            </w:r>
          </w:p>
        </w:tc>
      </w:tr>
    </w:tbl>
    <w:p>
      <w:r>
        <w:rPr>
          <w:rFonts w:ascii="Calibri" w:hAnsi="Calibri"/>
          <w:b/>
          <w:color w:val="CC6600"/>
          <w:sz w:val="18"/>
        </w:rPr>
        <w:t>Рекомендация: В рамках подготовки заявки рекомендуется подача заявки на полезную модель по тематике проекта.</w:t>
      </w:r>
    </w:p>
    <w:p/>
    <w:p>
      <w:pPr>
        <w:pStyle w:val="Heading2"/>
      </w:pPr>
      <w:r>
        <w:rPr>
          <w:rFonts w:ascii="Calibri" w:hAnsi="Calibri"/>
          <w:color w:val="1B3A5C"/>
        </w:rPr>
        <w:t>6. Связанные компании</w:t>
      </w:r>
    </w:p>
    <w:p>
      <w:r>
        <w:rPr>
          <w:rFonts w:ascii="Calibri" w:hAnsi="Calibri"/>
          <w:b w:val="0"/>
          <w:sz w:val="20"/>
        </w:rPr>
        <w:t>Нет данных</w:t>
      </w:r>
    </w:p>
    <w:p/>
    <w:p>
      <w:pPr>
        <w:pStyle w:val="Heading2"/>
      </w:pPr>
      <w:r>
        <w:rPr>
          <w:rFonts w:ascii="Calibri" w:hAnsi="Calibri"/>
          <w:color w:val="1B3A5C"/>
        </w:rPr>
        <w:t>7. Инновационный потенциал и предмет заявки</w:t>
      </w:r>
    </w:p>
    <w:p>
      <w:r>
        <w:rPr>
          <w:rFonts w:ascii="Calibri" w:hAnsi="Calibri"/>
          <w:b/>
          <w:sz w:val="20"/>
        </w:rPr>
        <w:t>Технология обработки янтаря с повышенным коэффициентом выхода товарного сырья и автоматизированным контролем качества</w:t>
      </w:r>
    </w:p>
    <w:p>
      <w:r>
        <w:rPr>
          <w:rFonts w:ascii="Calibri" w:hAnsi="Calibri"/>
          <w:b w:val="0"/>
          <w:sz w:val="20"/>
        </w:rPr>
        <w:t>Разработка усовершенствованной технологии обработки янтаря, включающей оптимизацию раскроя необработанного сырья, автоматизированную систему сортировки по качеству и цвету, а также финишную обработку с минимальными потерями материала. Технология позволяет повысить выход товарного сырья высших категорий и снизить себестоимость готовой продукции.</w:t>
      </w:r>
    </w:p>
    <w:p/>
    <w:p>
      <w:pPr>
        <w:pStyle w:val="Heading2"/>
      </w:pPr>
      <w:r>
        <w:rPr>
          <w:rFonts w:ascii="Calibri" w:hAnsi="Calibri"/>
          <w:color w:val="1B3A5C"/>
        </w:rPr>
        <w:t>8. План действий и вывод</w:t>
      </w:r>
    </w:p>
    <w:p>
      <w:r>
        <w:rPr>
          <w:rFonts w:ascii="Calibri" w:hAnsi="Calibri"/>
          <w:b w:val="0"/>
          <w:sz w:val="18"/>
        </w:rPr>
        <w:t>1. Заключение договора на сопровождение заявки</w:t>
      </w:r>
    </w:p>
    <w:p>
      <w:r>
        <w:rPr>
          <w:rFonts w:ascii="Calibri" w:hAnsi="Calibri"/>
          <w:b w:val="0"/>
          <w:sz w:val="18"/>
        </w:rPr>
        <w:t>2. Подача заявки на полезную модель (4–5 мес.)</w:t>
      </w:r>
    </w:p>
    <w:p>
      <w:r>
        <w:rPr>
          <w:rFonts w:ascii="Calibri" w:hAnsi="Calibri"/>
          <w:b w:val="0"/>
          <w:sz w:val="18"/>
        </w:rPr>
        <w:t>3. Подготовка и подача заявки в Фонд «Сколково»</w:t>
      </w:r>
    </w:p>
    <w:p>
      <w:r>
        <w:rPr>
          <w:rFonts w:ascii="Calibri" w:hAnsi="Calibri"/>
          <w:b w:val="0"/>
          <w:sz w:val="18"/>
        </w:rPr>
        <w:t>4. Получение статуса Участника проекта (средний срок 4–6 мес.)</w:t>
      </w:r>
    </w:p>
    <w:p>
      <w:r>
        <w:rPr>
          <w:rFonts w:ascii="Calibri" w:hAnsi="Calibri"/>
          <w:b w:val="0"/>
          <w:sz w:val="18"/>
        </w:rPr>
        <w:t>5. Ежегодная экономия от 14.5 млн руб. на налогах</w:t>
      </w:r>
    </w:p>
    <w:p>
      <w:r>
        <w:rPr>
          <w:rFonts w:ascii="Calibri" w:hAnsi="Calibri"/>
          <w:b w:val="0"/>
          <w:sz w:val="10"/>
        </w:rPr>
      </w:r>
    </w:p>
    <w:p>
      <w:r>
        <w:rPr>
          <w:rFonts w:ascii="Calibri" w:hAnsi="Calibri"/>
          <w:b/>
          <w:color w:val="008000"/>
          <w:sz w:val="20"/>
        </w:rPr>
        <w:t>ВЫВОД: Компания соответствует критериям для получения статуса резидента Сколково. Прогнозируемая налоговая экономия — 150–200 млн руб. за 10 лет.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