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28"/>
        </w:rPr>
        <w:t>Анализ и расчет налоговой экономии</w:t>
        <w:br/>
        <w:t>ООО «РЕГИОН» (ИНН 2539118775)</w:t>
      </w:r>
    </w:p>
    <w:p>
      <w:pPr>
        <w:jc w:val="center"/>
      </w:pPr>
      <w:r>
        <w:rPr>
          <w:rFonts w:ascii="Calibri" w:hAnsi="Calibri"/>
          <w:b w:val="0"/>
          <w:color w:val="999999"/>
          <w:sz w:val="16"/>
        </w:rPr>
        <w:t>Источники: audit-it.ru, saby.ru, testfirm.ru, rusprofile.ru · 09.07.2026</w:t>
      </w:r>
    </w:p>
    <w:p/>
    <w:p>
      <w:pPr>
        <w:pStyle w:val="Heading2"/>
      </w:pPr>
      <w:r>
        <w:rPr>
          <w:rFonts w:ascii="Calibri" w:hAnsi="Calibri"/>
          <w:color w:val="1B3A5C"/>
        </w:rPr>
        <w:t>1. Основные реквизиты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Полное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ООО «РЕГИОН»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 / 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2539118775 / 1112539013410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Юридический адрес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690001, г. Владивосток, ул. Енисейская, д. 23Б, оф. 800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Генеральный директор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Кялунзига Алексей Васильевич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Учредитель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Кялунзига Алексей Васильевич (100%)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Основной вид деятельности (ОКВЭД)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25.11 — Производство строительных металлических конструкций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Уставный капитал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ОСН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 сотрудников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Стоимость имущества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114 млн руб.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2. Финансовые показатели</w:t>
      </w:r>
    </w:p>
    <w:p>
      <w:r>
        <w:rPr>
          <w:rFonts w:ascii="Calibri" w:hAnsi="Calibri"/>
          <w:b/>
          <w:color w:val="555555"/>
          <w:sz w:val="18"/>
        </w:rPr>
        <w:t>Таблица 1. Динамика выручки и прибыли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2022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2023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2024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2025</w:t>
            </w:r>
          </w:p>
        </w:tc>
      </w:tr>
      <w:tr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Выручка, руб.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148 000 000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350 000 000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412 000 000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120 000 000</w:t>
            </w:r>
          </w:p>
        </w:tc>
      </w:tr>
      <w:tr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Прибыль, руб.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47 214 000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12 900 000</w:t>
            </w:r>
          </w:p>
        </w:tc>
      </w:tr>
    </w:tbl>
    <w:p>
      <w:pPr>
        <w:pStyle w:val="Heading2"/>
      </w:pPr>
      <w:r>
        <w:rPr>
          <w:rFonts w:ascii="Calibri" w:hAnsi="Calibri"/>
          <w:color w:val="1B3A5C"/>
        </w:rPr>
        <w:t>3. Расчёт налоговой экономии при статусе резидента Сколково</w:t>
      </w:r>
    </w:p>
    <w:p>
      <w:r>
        <w:rPr>
          <w:rFonts w:ascii="Calibri" w:hAnsi="Calibri"/>
          <w:b w:val="0"/>
          <w:sz w:val="20"/>
        </w:rPr>
        <w:t>Статус резидента Фонда «Сколково» предоставляет следующие налоговые льготы:</w:t>
      </w:r>
    </w:p>
    <w:p>
      <w:r>
        <w:rPr>
          <w:rFonts w:ascii="Calibri" w:hAnsi="Calibri"/>
          <w:b w:val="0"/>
          <w:sz w:val="18"/>
        </w:rPr>
        <w:t>• Налог на прибыль — 0% (стандартная ставка 20%)</w:t>
      </w:r>
    </w:p>
    <w:p>
      <w:r>
        <w:rPr>
          <w:rFonts w:ascii="Calibri" w:hAnsi="Calibri"/>
          <w:b w:val="0"/>
          <w:sz w:val="18"/>
        </w:rPr>
        <w:t>• Страховые взносы — 15% (стандартная ставка 30%)</w:t>
      </w:r>
    </w:p>
    <w:p>
      <w:r>
        <w:rPr>
          <w:rFonts w:ascii="Calibri" w:hAnsi="Calibri"/>
          <w:b w:val="0"/>
          <w:sz w:val="18"/>
        </w:rPr>
        <w:t>• Налог на имущество — освобождение (стандартная ставка до 2,2%)</w:t>
      </w:r>
    </w:p>
    <w:p>
      <w:r>
        <w:rPr>
          <w:rFonts w:ascii="Calibri" w:hAnsi="Calibri"/>
          <w:b w:val="0"/>
          <w:sz w:val="18"/>
        </w:rPr>
        <w:t>• НДС — не применяется (компания сохраняет общий режим)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Стандартный режим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Сколково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Экономия в год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прибыль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2 580 000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2 580 000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Страховые взносы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1 512 000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756 000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756 000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имущество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 (оценка)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3 836 000 руб.</w:t>
            </w:r>
          </w:p>
        </w:tc>
      </w:tr>
    </w:tbl>
    <w:p>
      <w:r>
        <w:rPr>
          <w:rFonts w:ascii="Calibri" w:hAnsi="Calibri"/>
          <w:b w:val="0"/>
          <w:color w:val="555555"/>
          <w:sz w:val="18"/>
        </w:rPr>
        <w:t>Обоснование: При текущих показателях выручки 120 млн руб. и прибыли 12.9 млн руб. экономия составляет ≈ 3.8 млн руб./год.</w:t>
      </w:r>
    </w:p>
    <w:p>
      <w:r>
        <w:rPr>
          <w:rFonts w:ascii="Calibri" w:hAnsi="Calibri"/>
          <w:b/>
          <w:color w:val="008000"/>
          <w:sz w:val="20"/>
        </w:rPr>
        <w:t>Прогноз на 10 лет: 100–150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4. Описание деятельности и продукции</w:t>
      </w:r>
    </w:p>
    <w:p>
      <w:r>
        <w:rPr>
          <w:rFonts w:ascii="Calibri" w:hAnsi="Calibri"/>
          <w:b w:val="0"/>
          <w:sz w:val="20"/>
        </w:rPr>
        <w:t>Компания занимается производством строительных металлоконструкций (балки, фермы, колонны, прогоны) для объектов промышленного и гражданского строительства. Продукция используется при возведении складских комплексов, торговых центров, производственных цехов. Компания работает 14 лет, имеет опыт исполнения государственных контрактов.</w:t>
      </w:r>
    </w:p>
    <w:p/>
    <w:p>
      <w:pPr>
        <w:pStyle w:val="Heading2"/>
      </w:pPr>
      <w:r>
        <w:rPr>
          <w:rFonts w:ascii="Calibri" w:hAnsi="Calibri"/>
          <w:color w:val="1B3A5C"/>
        </w:rPr>
        <w:t>5. Интеллектуальная собственность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Зарегистрированные патенты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Свидетельства и сертификаты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Нет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Госзакупки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284 тыс. руб. (2023)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Задолженность по налогам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1,27 млн руб.</w:t>
            </w:r>
          </w:p>
        </w:tc>
      </w:tr>
    </w:tbl>
    <w:p>
      <w:r>
        <w:rPr>
          <w:rFonts w:ascii="Calibri" w:hAnsi="Calibri"/>
          <w:b/>
          <w:color w:val="CC6600"/>
          <w:sz w:val="18"/>
        </w:rPr>
        <w:t>Рекомендация: В рамках подготовки заявки рекомендуется подача заявки на полезную модель по тематике проекта.</w:t>
      </w:r>
    </w:p>
    <w:p/>
    <w:p>
      <w:pPr>
        <w:pStyle w:val="Heading2"/>
      </w:pPr>
      <w:r>
        <w:rPr>
          <w:rFonts w:ascii="Calibri" w:hAnsi="Calibri"/>
          <w:color w:val="1B3A5C"/>
        </w:rPr>
        <w:t>6. Связанные компании</w:t>
      </w:r>
    </w:p>
    <w:p>
      <w:r>
        <w:rPr>
          <w:rFonts w:ascii="Calibri" w:hAnsi="Calibri"/>
          <w:b w:val="0"/>
          <w:sz w:val="20"/>
        </w:rPr>
        <w:t>ООО «ПРИМКОНСТРУКТ», ООО «ГК «РЕГИОН»</w:t>
      </w:r>
    </w:p>
    <w:p/>
    <w:p>
      <w:pPr>
        <w:pStyle w:val="Heading2"/>
      </w:pPr>
      <w:r>
        <w:rPr>
          <w:rFonts w:ascii="Calibri" w:hAnsi="Calibri"/>
          <w:color w:val="1B3A5C"/>
        </w:rPr>
        <w:t>7. Инновационный потенциал и предмет заявки</w:t>
      </w:r>
    </w:p>
    <w:p>
      <w:r>
        <w:rPr>
          <w:rFonts w:ascii="Calibri" w:hAnsi="Calibri"/>
          <w:b/>
          <w:sz w:val="20"/>
        </w:rPr>
        <w:t>Технология производства строительных металлоконструкций с повышенной точностью геометрии и автоматизированным контролем качества сварных швов</w:t>
      </w:r>
    </w:p>
    <w:p>
      <w:r>
        <w:rPr>
          <w:rFonts w:ascii="Calibri" w:hAnsi="Calibri"/>
          <w:b w:val="0"/>
          <w:sz w:val="20"/>
        </w:rPr>
        <w:t>Разработка и внедрение усовершенствованной технологии производства строительных металлоконструкций, включающей автоматизированную систему контроля качества сварных соединений и точности геометрических параметров. Технология позволяет снизить долю брака, повысить несущую способность конструкций и сократить трудозатраты на контроль качества.</w:t>
      </w:r>
    </w:p>
    <w:p/>
    <w:p>
      <w:pPr>
        <w:pStyle w:val="Heading2"/>
      </w:pPr>
      <w:r>
        <w:rPr>
          <w:rFonts w:ascii="Calibri" w:hAnsi="Calibri"/>
          <w:color w:val="1B3A5C"/>
        </w:rPr>
        <w:t>8. План действий и вывод</w:t>
      </w:r>
    </w:p>
    <w:p>
      <w:r>
        <w:rPr>
          <w:rFonts w:ascii="Calibri" w:hAnsi="Calibri"/>
          <w:b w:val="0"/>
          <w:sz w:val="18"/>
        </w:rPr>
        <w:t>1. Заключение договора на сопровождение заявки</w:t>
      </w:r>
    </w:p>
    <w:p>
      <w:r>
        <w:rPr>
          <w:rFonts w:ascii="Calibri" w:hAnsi="Calibri"/>
          <w:b w:val="0"/>
          <w:sz w:val="18"/>
        </w:rPr>
        <w:t>2. Подача заявки на полезную модель (4–5 мес.)</w:t>
      </w:r>
    </w:p>
    <w:p>
      <w:r>
        <w:rPr>
          <w:rFonts w:ascii="Calibri" w:hAnsi="Calibri"/>
          <w:b w:val="0"/>
          <w:sz w:val="18"/>
        </w:rPr>
        <w:t>3. Подготовка и подача заявки в Фонд «Сколково»</w:t>
      </w:r>
    </w:p>
    <w:p>
      <w:r>
        <w:rPr>
          <w:rFonts w:ascii="Calibri" w:hAnsi="Calibri"/>
          <w:b w:val="0"/>
          <w:sz w:val="18"/>
        </w:rPr>
        <w:t>4. Получение статуса Участника проекта (средний срок 4–6 мес.)</w:t>
      </w:r>
    </w:p>
    <w:p>
      <w:r>
        <w:rPr>
          <w:rFonts w:ascii="Calibri" w:hAnsi="Calibri"/>
          <w:b w:val="0"/>
          <w:sz w:val="18"/>
        </w:rPr>
        <w:t>5. Ежегодная экономия от 3.8 млн руб. на налогах</w:t>
      </w:r>
    </w:p>
    <w:p>
      <w:r>
        <w:rPr>
          <w:rFonts w:ascii="Calibri" w:hAnsi="Calibri"/>
          <w:b w:val="0"/>
          <w:sz w:val="10"/>
        </w:rPr>
      </w:r>
    </w:p>
    <w:p>
      <w:r>
        <w:rPr>
          <w:rFonts w:ascii="Calibri" w:hAnsi="Calibri"/>
          <w:b/>
          <w:color w:val="008000"/>
          <w:sz w:val="20"/>
        </w:rPr>
        <w:t>ВЫВОД: Компания соответствует критериям для получения статуса резидента Сколково. Прогнозируемая налоговая экономия — 100–150 млн руб. за 10 лет.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