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"РПК СПРИНТ (ИНН 7702429033)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"РПК СПРИНТ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РПК СПРИНТ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7702429033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1187746228977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муниципальный округ Мещанский вн.тер.г., ул. Гиляровского, д. 65, стр. 1, ЭТАЖ/ПОМ/КОМН 5/X/1, 129110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Васильев Алексей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готовых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335 326 000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327 760 000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мелкосерийного производства изделий: лазерная резка, гравировка, сборка и окраска, цифровой контроль партий. Патентоспособны полезная модель на конструкцию изделия и способ декоративной обработки поверхности.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мелкосерийного производства изделий: лазерная резка, гравировка, сборка и окраска, цифровой контроль партий. Патентоспособны полезная модель на конструкцию изделия и способ декоративной обработки поверхности.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мелкосерийного производства изделий: лазерная резка, гравировка, сборка и окраска, цифровой контроль партий. Патентоспособны полезная модель на конструкцию изделия и способ декоративной обработки поверхности. Уточняется после созвона с клиентом.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