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67788"/>
          <w:sz w:val="16"/>
        </w:rPr>
        <w:t>КОНСАЛТИНГОВАЯ КОМПАНИЯ ANDROMEDA CONSULT</w:t>
        <w:br/>
        <w:t>ИНН 7702464831 | ОГРН 1197746181038 | КПП 770201001</w:t>
        <w:br/>
        <w:t>info@andromedaconsult.ru | andromedaconsult.ru</w:t>
      </w:r>
    </w:p>
    <w:p>
      <w:pPr>
        <w:jc w:val="center"/>
      </w:pPr>
      <w:r>
        <w:rPr>
          <w:b/>
          <w:sz w:val="28"/>
        </w:rPr>
        <w:t>АНКЕТА КОМПАНИИ</w:t>
      </w:r>
    </w:p>
    <w:p>
      <w:pPr>
        <w:jc w:val="center"/>
      </w:pPr>
      <w:r>
        <w:rPr>
          <w:sz w:val="20"/>
        </w:rPr>
        <w:t>для оценки возможности получения статуса резидента Фонда «Сколково»</w:t>
      </w:r>
    </w:p>
    <w:p/>
    <w:p>
      <w:r>
        <w:rPr>
          <w:b/>
          <w:sz w:val="20"/>
        </w:rPr>
        <w:t xml:space="preserve">Полное наименование: </w:t>
      </w:r>
      <w:r>
        <w:rPr>
          <w:color w:val="2ECC71"/>
          <w:sz w:val="20"/>
        </w:rPr>
        <w:t>ООО «ЦИТРИН-СЕРВИС»</w:t>
      </w:r>
    </w:p>
    <w:p>
      <w:r>
        <w:rPr>
          <w:b/>
          <w:sz w:val="20"/>
        </w:rPr>
        <w:t xml:space="preserve">ИНН: </w:t>
      </w:r>
      <w:r>
        <w:rPr>
          <w:color w:val="2ECC71"/>
          <w:sz w:val="20"/>
        </w:rPr>
        <w:t>0277110780</w:t>
      </w:r>
    </w:p>
    <w:p>
      <w:r>
        <w:rPr>
          <w:b/>
          <w:sz w:val="20"/>
        </w:rPr>
        <w:t xml:space="preserve">ОГРН: </w:t>
      </w:r>
      <w:r>
        <w:rPr>
          <w:color w:val="2ECC71"/>
          <w:sz w:val="20"/>
        </w:rPr>
        <w:t>1100280021665</w:t>
      </w:r>
    </w:p>
    <w:p>
      <w:r>
        <w:rPr>
          <w:b/>
          <w:sz w:val="20"/>
        </w:rPr>
        <w:t xml:space="preserve">Регистрация: </w:t>
      </w:r>
      <w:r>
        <w:rPr>
          <w:color w:val="2ECC71"/>
          <w:sz w:val="20"/>
        </w:rPr>
        <w:t>28.05.2010 (16 лет)</w:t>
      </w:r>
    </w:p>
    <w:p>
      <w:r>
        <w:rPr>
          <w:b/>
          <w:sz w:val="20"/>
        </w:rPr>
        <w:t xml:space="preserve">Руководитель: </w:t>
      </w:r>
      <w:r>
        <w:rPr>
          <w:color w:val="2ECC71"/>
          <w:sz w:val="20"/>
        </w:rPr>
        <w:t>Данилов Михаил Евгеньевич (директор)</w:t>
      </w:r>
    </w:p>
    <w:p>
      <w:r>
        <w:rPr>
          <w:b/>
          <w:sz w:val="20"/>
        </w:rPr>
        <w:t xml:space="preserve">Адрес: </w:t>
      </w:r>
      <w:r>
        <w:rPr>
          <w:color w:val="2ECC71"/>
          <w:sz w:val="20"/>
        </w:rPr>
        <w:t>450081, г. Уфа, ул. Российская, д. 11, пом. 133</w:t>
      </w:r>
    </w:p>
    <w:p>
      <w:r>
        <w:rPr>
          <w:b/>
          <w:sz w:val="20"/>
        </w:rPr>
        <w:t xml:space="preserve">Основной ОКВЭД: </w:t>
      </w:r>
      <w:r>
        <w:rPr>
          <w:color w:val="2ECC71"/>
          <w:sz w:val="20"/>
        </w:rPr>
        <w:t>28.92 — Производство машин для добычи полезных ископаемых</w:t>
      </w:r>
    </w:p>
    <w:p>
      <w:r>
        <w:rPr>
          <w:b/>
          <w:sz w:val="20"/>
        </w:rPr>
        <w:t xml:space="preserve">Выручка (2025): </w:t>
      </w:r>
      <w:r>
        <w:rPr>
          <w:color w:val="2ECC71"/>
          <w:sz w:val="20"/>
        </w:rPr>
        <w:t>144,6 млн ₽</w:t>
      </w:r>
    </w:p>
    <w:p>
      <w:r>
        <w:rPr>
          <w:b/>
          <w:sz w:val="20"/>
        </w:rPr>
        <w:t xml:space="preserve">Прибыль (2025): </w:t>
      </w:r>
      <w:r>
        <w:rPr>
          <w:color w:val="2ECC71"/>
          <w:sz w:val="20"/>
        </w:rPr>
        <w:t>3,3 млн ₽</w:t>
      </w:r>
    </w:p>
    <w:p>
      <w:r>
        <w:rPr>
          <w:b/>
          <w:sz w:val="20"/>
        </w:rPr>
        <w:t xml:space="preserve">Налоговый режим: </w:t>
      </w:r>
      <w:r>
        <w:rPr>
          <w:color w:val="2ECC71"/>
          <w:sz w:val="20"/>
        </w:rPr>
        <w:t>ОСН</w:t>
      </w:r>
    </w:p>
    <w:p>
      <w:r>
        <w:rPr>
          <w:b/>
          <w:sz w:val="20"/>
        </w:rPr>
        <w:t xml:space="preserve">Наличие патентов: </w:t>
      </w:r>
      <w:r>
        <w:rPr>
          <w:color w:val="F39C12"/>
          <w:sz w:val="20"/>
        </w:rPr>
        <w:t>Требуется патентный аудит</w:t>
      </w:r>
    </w:p>
    <w:p/>
    <w:p>
      <w:r>
        <w:rPr>
          <w:b/>
          <w:sz w:val="20"/>
        </w:rPr>
        <w:t xml:space="preserve">Гипотеза по инновации: </w:t>
      </w:r>
    </w:p>
    <w:p>
      <w:r>
        <w:rPr>
          <w:color w:val="F39C12"/>
          <w:sz w:val="20"/>
        </w:rPr>
        <w:t>Компания производит машины для добычи полезных ископаемых. Инновация — в конструктивных решениях, модернизации оборудования, автоматизации процессов.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