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«Спецмашдеталь»</w:t>
      </w:r>
    </w:p>
    <w:p>
      <w:r>
        <w:t>Уважаемый Бондаренко Дмитрий Игоревич!</w:t>
      </w:r>
    </w:p>
    <w:p>
      <w:r>
        <w:t>Ваша компания демонстрирует уверенный рост: выручка 309 млн ₽, заказчик — ФНПЦ «ТИТАН-Баррикады».</w:t>
      </w:r>
    </w:p>
    <w:p>
      <w:r>
        <w:t>Статус резидента Сколково даёт: 0% налог на прибыль (экономия ~2,8 млн/год), пониженные страховые взносы 15%. Итого ~4-5 млн ₽ ежегодно.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