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28"/>
        </w:rPr>
        <w:t>АНКЕТА ДЛЯ ПОДАЧИ ЗАЯВКИ В ФОНД «СКОЛКОВО»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ООО «РЕГИОН» (ИНН 2539118775)</w:t>
      </w:r>
    </w:p>
    <w:p/>
    <w:p>
      <w:pPr>
        <w:pStyle w:val="Heading2"/>
      </w:pPr>
      <w:r>
        <w:rPr>
          <w:rFonts w:ascii="Calibri" w:hAnsi="Calibri"/>
          <w:color w:val="1B3A5C"/>
        </w:rPr>
        <w:t>Условные обозначения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4444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Маркер</w:t>
            </w:r>
          </w:p>
        </w:tc>
        <w:tc>
          <w:tcPr>
            <w:tcW w:type="dxa" w:w="4703"/>
            <w:shd w:fill="444444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E8F5E9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E8F5E9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Данные из открытых источников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8E1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8E1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Гипотеза/требует подтверждения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EB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EBEE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Данные отсутствуют —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Будет подготовлено ассистентом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1. Данные для личного кабинета lk.sk.ru</w:t>
      </w:r>
    </w:p>
    <w:p>
      <w:r>
        <w:rPr>
          <w:rFonts w:ascii="Calibri" w:hAnsi="Calibri"/>
          <w:b w:val="0"/>
          <w:color w:val="666666"/>
          <w:sz w:val="18"/>
        </w:rPr>
        <w:t>Заполняется менеджером при создании заявки в системе.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Полное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ООО «РЕГИОН»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Сокращённое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РЕГИОН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2539118775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1112539013410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КПП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253901001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Юридический адрес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690001, г. Владивосток, ул. Енисейская, д. 23Б, оф. 800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Телефон (для связи)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E-mail (для связи)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Не указан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Уставный капитал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ФИО руководителя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Кялунзига Алексей Васильевич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Контактное лицо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2. Сведения о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Основной ОКВЭД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25.11 — Производство строительных металлических конструкций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Дополнительные ОКВЭД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Также: 43.99.3, 46.73, 47.52, 25.12, 43.12, 46.90, 47.19, 47.89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Город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Владивосток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ОСН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 сотрудников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7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за 2024 г.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412 000 000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за 2025 г.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120 000 000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Патенты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Сертификаты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Не выявлены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3. Научно-технические критерии проекта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Наименование проекта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Технология производства строительных металлоконструкций с повышенной точностью геометрии и автоматизированным контролем качества сварных швов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Описание проекта (суть инновации)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Разработка и внедрение усовершенствованной технологии производства строительных металлоконструкций, включающей автоматизированную систему контроля качества сварных соединений и точности геометрических параметров. Технология позволяет снизить долю брака, повысить несущую способность конструкций и сократить трудозатраты на контроль качества.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Научная новизна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Техническое превосходство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описание преимуществ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Рынок и конкуренты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Предполагаемый патент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Полезная модель по теме проекта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4. Материально-техническая база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Производственные площади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Оборудование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Сырьё и материалы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Лабораторное/испытательное оборудование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Стоимость имущества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114 млн руб.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5. НИОКР</w:t>
      </w:r>
    </w:p>
    <w:p>
      <w:r>
        <w:rPr>
          <w:rFonts w:ascii="Calibri" w:hAnsi="Calibri"/>
          <w:b w:val="0"/>
          <w:sz w:val="20"/>
        </w:rPr>
        <w:t>Данный раздел заполняется после уточнения у клиента состава планируемых НИОКР.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Этапы НИОКР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Бюджет НИОКР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Сроки выполнения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6. Техническое задание (краткое описание проекта)</w:t>
      </w:r>
    </w:p>
    <w:p>
      <w:r>
        <w:rPr>
          <w:rFonts w:ascii="Calibri" w:hAnsi="Calibri"/>
          <w:b w:val="0"/>
          <w:sz w:val="20"/>
        </w:rPr>
        <w:t>Разработка и внедрение усовершенствованной технологии производства строительных металлоконструкций, включающей автоматизированную систему контроля качества сварных соединений и точности геометрических параметров. Технология позволяет снизить долю брака, повысить несущую способность конструкций и сократить трудозатраты на контроль качества.</w:t>
      </w:r>
    </w:p>
    <w:p>
      <w:r>
        <w:rPr>
          <w:rFonts w:ascii="Calibri" w:hAnsi="Calibri"/>
          <w:b w:val="0"/>
          <w:sz w:val="10"/>
        </w:rPr>
      </w:r>
    </w:p>
    <w:p>
      <w:r>
        <w:rPr>
          <w:rFonts w:ascii="Calibri" w:hAnsi="Calibri"/>
          <w:b/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