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«Мелиомаш»</w:t>
      </w:r>
    </w:p>
    <w:p>
      <w:r>
        <w:t>Уважаемый(ая) Козлов Дмитрий Владимирович!</w:t>
      </w:r>
    </w:p>
    <w:p>
      <w:r>
        <w:t>Ваша компания (Производство сельхозмашин) показывает устойчивые результаты: выручка 185 млн ₽.</w:t>
      </w:r>
    </w:p>
    <w:p>
      <w:r>
        <w:t>Статус резидента Сколково даёт: 0% налог на прибыль, пониженные страховые взносы 15% (вместо 30%). НДС не меняется — вы остаётесь на общем режиме.</w:t>
      </w:r>
    </w:p>
    <w:p>
      <w:r>
        <w:t>Стоимость: аванс 250 000 ₽, success fee 450 000 ₽ (только при получении статуса).</w:t>
      </w:r>
    </w:p>
    <w:p>
      <w:r>
        <w:t>Заявки готовятся экстерриториально — менять юрадрес или переезжать не нужно.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