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получение статуса резидента Фонда «Сколково»</w:t>
      </w:r>
    </w:p>
    <w:p/>
    <w:p>
      <w:r>
        <w:rPr>
          <w:b/>
        </w:rPr>
        <w:t xml:space="preserve">Клиент: </w:t>
      </w:r>
      <w:r>
        <w:t>ООО «ХИМСЕРВИС» (ИНН 7743149719)</w:t>
      </w:r>
    </w:p>
    <w:p>
      <w:r>
        <w:rPr>
          <w:b/>
        </w:rPr>
        <w:t xml:space="preserve">Руководитель: </w:t>
      </w:r>
      <w:r>
        <w:t>Диков Олег Станиславович</w:t>
      </w:r>
    </w:p>
    <w:p/>
    <w:p>
      <w:r>
        <w:rPr>
          <w:b/>
          <w:sz w:val="24"/>
        </w:rPr>
        <w:t>1. Текущее состояние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Выручка</w:t>
            </w:r>
          </w:p>
        </w:tc>
        <w:tc>
          <w:tcPr>
            <w:tcW w:type="dxa" w:w="2880"/>
          </w:tcPr>
          <w:p>
            <w:r>
              <w:t>547 млн ₽</w:t>
            </w:r>
          </w:p>
        </w:tc>
        <w:tc>
          <w:tcPr>
            <w:tcW w:type="dxa" w:w="2880"/>
          </w:tcPr>
          <w:p>
            <w:r>
              <w:t>Рост +34%</w:t>
            </w:r>
          </w:p>
        </w:tc>
      </w:tr>
      <w:tr>
        <w:tc>
          <w:tcPr>
            <w:tcW w:type="dxa" w:w="2880"/>
          </w:tcPr>
          <w:p>
            <w:r>
              <w:t>Прибыль</w:t>
            </w:r>
          </w:p>
        </w:tc>
        <w:tc>
          <w:tcPr>
            <w:tcW w:type="dxa" w:w="2880"/>
          </w:tcPr>
          <w:p>
            <w:r>
              <w:t>29,3 млн 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ОКВЭД</w:t>
            </w:r>
          </w:p>
        </w:tc>
        <w:tc>
          <w:tcPr>
            <w:tcW w:type="dxa" w:w="2880"/>
          </w:tcPr>
          <w:p>
            <w:r>
              <w:t>20.41</w:t>
            </w:r>
          </w:p>
        </w:tc>
        <w:tc>
          <w:tcPr>
            <w:tcW w:type="dxa" w:w="2880"/>
          </w:tcPr>
          <w:p>
            <w:r>
              <w:t>Производство мыла и моющих</w:t>
            </w:r>
          </w:p>
        </w:tc>
      </w:tr>
      <w:tr>
        <w:tc>
          <w:tcPr>
            <w:tcW w:type="dxa" w:w="2880"/>
          </w:tcPr>
          <w:p>
            <w:r>
              <w:t>Режим</w:t>
            </w:r>
          </w:p>
        </w:tc>
        <w:tc>
          <w:tcPr>
            <w:tcW w:type="dxa" w:w="2880"/>
          </w:tcPr>
          <w:p>
            <w:r>
              <w:t>ОСН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Сотрудники</w:t>
            </w:r>
          </w:p>
        </w:tc>
        <w:tc>
          <w:tcPr>
            <w:tcW w:type="dxa" w:w="2880"/>
          </w:tcPr>
          <w:p>
            <w:r>
              <w:t>~25 чел.</w:t>
            </w:r>
          </w:p>
        </w:tc>
        <w:tc>
          <w:tcPr>
            <w:tcW w:type="dxa" w:w="2880"/>
          </w:tcPr>
          <w:p>
            <w:r>
              <w:t>Оценка</w:t>
            </w:r>
          </w:p>
        </w:tc>
      </w:tr>
    </w:tbl>
    <w:p/>
    <w:p>
      <w:r>
        <w:rPr>
          <w:b/>
          <w:sz w:val="24"/>
        </w:rPr>
        <w:t>2. Налоговая экономия</w:t>
      </w:r>
    </w:p>
    <w:p>
      <w:r>
        <w:rPr>
          <w:sz w:val="20"/>
        </w:rPr>
        <w:t>• Налог на прибыль 0% — экономия ~5,86 млн ₽/год</w:t>
        <w:br/>
        <w:t>• Страховые взносы 15% — экономия ~1,6 млн ₽/год</w:t>
        <w:br/>
        <w:t>• Освобождение от налога на имущество</w:t>
        <w:br/>
        <w:br/>
        <w:t>Итого годовая экономия: ~7,5 млн ₽</w:t>
        <w:br/>
        <w:t>Прогноз на 10 лет: ~75 млн ₽</w:t>
      </w:r>
    </w:p>
    <w:p/>
    <w:p>
      <w:r>
        <w:rPr>
          <w:b/>
          <w:sz w:val="24"/>
        </w:rPr>
        <w:t>3. Стоимость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Услуга</w:t>
            </w:r>
          </w:p>
        </w:tc>
        <w:tc>
          <w:tcPr>
            <w:tcW w:type="dxa" w:w="4320"/>
          </w:tcPr>
          <w:p>
            <w:r>
              <w:t>Стоимость</w:t>
            </w:r>
          </w:p>
        </w:tc>
      </w:tr>
      <w:tr>
        <w:tc>
          <w:tcPr>
            <w:tcW w:type="dxa" w:w="4320"/>
          </w:tcPr>
          <w:p>
            <w:r>
              <w:t>Формирование пакета (аванс)</w:t>
            </w:r>
          </w:p>
        </w:tc>
        <w:tc>
          <w:tcPr>
            <w:tcW w:type="dxa" w:w="4320"/>
          </w:tcPr>
          <w:p>
            <w:r>
              <w:t>250 000 ₽</w:t>
            </w:r>
          </w:p>
        </w:tc>
      </w:tr>
      <w:tr>
        <w:tc>
          <w:tcPr>
            <w:tcW w:type="dxa" w:w="4320"/>
          </w:tcPr>
          <w:p>
            <w:r>
              <w:t>Success fee Сколково</w:t>
            </w:r>
          </w:p>
        </w:tc>
        <w:tc>
          <w:tcPr>
            <w:tcW w:type="dxa" w:w="4320"/>
          </w:tcPr>
          <w:p>
            <w:r>
              <w:t>500 000 ₽</w:t>
            </w:r>
          </w:p>
        </w:tc>
      </w:tr>
      <w:tr>
        <w:tc>
          <w:tcPr>
            <w:tcW w:type="dxa" w:w="4320"/>
          </w:tcPr>
          <w:p>
            <w:r>
              <w:t>Success fee МТК</w:t>
            </w:r>
          </w:p>
        </w:tc>
        <w:tc>
          <w:tcPr>
            <w:tcW w:type="dxa" w:w="4320"/>
          </w:tcPr>
          <w:p>
            <w:r>
              <w:t>150 000 ₽</w:t>
            </w:r>
          </w:p>
        </w:tc>
      </w:tr>
      <w:tr>
        <w:tc>
          <w:tcPr>
            <w:tcW w:type="dxa" w:w="4320"/>
          </w:tcPr>
          <w:p>
            <w:r>
              <w:t>Патент (доп.)</w:t>
            </w:r>
          </w:p>
        </w:tc>
        <w:tc>
          <w:tcPr>
            <w:tcW w:type="dxa" w:w="4320"/>
          </w:tcPr>
          <w:p>
            <w:r>
              <w:t>80 000 ₽</w:t>
            </w:r>
          </w:p>
        </w:tc>
      </w:tr>
    </w:tbl>
    <w:p/>
    <w:p>
      <w:r>
        <w:rPr>
          <w:b/>
          <w:sz w:val="24"/>
        </w:rPr>
        <w:t>4. Дорожная карта</w:t>
      </w:r>
    </w:p>
    <w:p>
      <w:r>
        <w:rPr>
          <w:sz w:val="20"/>
        </w:rPr>
        <w:t>1. Анализ компании — 1-2 дня</w:t>
        <w:br/>
        <w:t>2. Подача заявки в Сколково — 2-3 нед.</w:t>
        <w:br/>
        <w:t>3. Получение статуса — 2-3 мес.</w:t>
        <w:br/>
        <w:t>4. Патентование — 4-5 мес.</w:t>
        <w:br/>
        <w:t>5. Отчётность — ежеквартально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