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Анализ и расчет налоговой экономии</w:t>
        <w:br/>
        <w:t>ООО ПТО «ВОЛГА-ГАЗ» (ИНН 6452908663)</w:t>
      </w:r>
    </w:p>
    <w:p>
      <w:pPr>
        <w:jc w:val="center"/>
      </w:pPr>
      <w:r>
        <w:rPr>
          <w:rFonts w:ascii="Calibri" w:hAnsi="Calibri"/>
          <w:b w:val="0"/>
          <w:color w:val="999999"/>
          <w:sz w:val="16"/>
        </w:rPr>
        <w:t>Источники: audit-it.ru, saby.ru, testfirm.ru, rusprofile.ru · 09.07.2026</w:t>
      </w:r>
    </w:p>
    <w:p/>
    <w:p>
      <w:pPr>
        <w:pStyle w:val="Heading2"/>
      </w:pPr>
      <w:r>
        <w:rPr>
          <w:rFonts w:ascii="Calibri" w:hAnsi="Calibri"/>
          <w:color w:val="1B3A5C"/>
        </w:rPr>
        <w:t>1. Основные реквизиты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ПТО «ВОЛГА-ГАЗ»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 / 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6452908663 / 1056405004303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410005, г. Саратов, ул. Танкистов, д. 46, кв. 25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Генеральный директор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Матюшев Денис Сергеевич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Учредитель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Матюшев Денис Сергеевич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вид деятельности (ОКВЭД)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28.1 — Производство машин и оборудования общего назначения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41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1,3 млн руб.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2. Финансовые показатели</w:t>
      </w:r>
    </w:p>
    <w:p>
      <w:r>
        <w:rPr>
          <w:rFonts w:ascii="Calibri" w:hAnsi="Calibri"/>
          <w:b/>
          <w:color w:val="555555"/>
          <w:sz w:val="18"/>
        </w:rPr>
        <w:t>Таблица 1. Динамика выручки и прибыли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188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2022</w:t>
            </w:r>
          </w:p>
        </w:tc>
        <w:tc>
          <w:tcPr>
            <w:tcW w:type="dxa" w:w="188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2023</w:t>
            </w:r>
          </w:p>
        </w:tc>
        <w:tc>
          <w:tcPr>
            <w:tcW w:type="dxa" w:w="188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2024</w:t>
            </w:r>
          </w:p>
        </w:tc>
        <w:tc>
          <w:tcPr>
            <w:tcW w:type="dxa" w:w="188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2025</w:t>
            </w:r>
          </w:p>
        </w:tc>
      </w:tr>
      <w:tr>
        <w:tc>
          <w:tcPr>
            <w:tcW w:type="dxa" w:w="188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Выручка, руб.</w:t>
            </w:r>
          </w:p>
        </w:tc>
        <w:tc>
          <w:tcPr>
            <w:tcW w:type="dxa" w:w="188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308 000 000</w:t>
            </w:r>
          </w:p>
        </w:tc>
        <w:tc>
          <w:tcPr>
            <w:tcW w:type="dxa" w:w="188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335 000 000</w:t>
            </w:r>
          </w:p>
        </w:tc>
        <w:tc>
          <w:tcPr>
            <w:tcW w:type="dxa" w:w="188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349 000 000</w:t>
            </w:r>
          </w:p>
        </w:tc>
        <w:tc>
          <w:tcPr>
            <w:tcW w:type="dxa" w:w="188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341 000 000</w:t>
            </w:r>
          </w:p>
        </w:tc>
      </w:tr>
      <w:tr>
        <w:tc>
          <w:tcPr>
            <w:tcW w:type="dxa" w:w="188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Прибыль, руб.</w:t>
            </w:r>
          </w:p>
        </w:tc>
        <w:tc>
          <w:tcPr>
            <w:tcW w:type="dxa" w:w="188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88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88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29 000</w:t>
            </w:r>
          </w:p>
        </w:tc>
        <w:tc>
          <w:tcPr>
            <w:tcW w:type="dxa" w:w="188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33 000</w:t>
            </w:r>
          </w:p>
        </w:tc>
      </w:tr>
    </w:tbl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 при статусе резидента Сколково</w:t>
      </w:r>
    </w:p>
    <w:p>
      <w:r>
        <w:rPr>
          <w:rFonts w:ascii="Calibri" w:hAnsi="Calibri"/>
          <w:b w:val="0"/>
          <w:sz w:val="20"/>
        </w:rPr>
        <w:t>Статус резидента Фонда «Сколково» предоставляет следующие налоговые льготы:</w:t>
      </w:r>
    </w:p>
    <w:p>
      <w:r>
        <w:rPr>
          <w:rFonts w:ascii="Calibri" w:hAnsi="Calibri"/>
          <w:b w:val="0"/>
          <w:sz w:val="18"/>
        </w:rPr>
        <w:t>• Налог на прибыль — 0% (стандартная ставка 20%)</w:t>
      </w:r>
    </w:p>
    <w:p>
      <w:r>
        <w:rPr>
          <w:rFonts w:ascii="Calibri" w:hAnsi="Calibri"/>
          <w:b w:val="0"/>
          <w:sz w:val="18"/>
        </w:rPr>
        <w:t>• Страховые взносы — 15% (стандартная ставка 30%)</w:t>
      </w:r>
    </w:p>
    <w:p>
      <w:r>
        <w:rPr>
          <w:rFonts w:ascii="Calibri" w:hAnsi="Calibri"/>
          <w:b w:val="0"/>
          <w:sz w:val="18"/>
        </w:rPr>
        <w:t>• Налог на имущество — освобождение (стандартная ставка до 2,2%)</w:t>
      </w:r>
    </w:p>
    <w:p>
      <w:r>
        <w:rPr>
          <w:rFonts w:ascii="Calibri" w:hAnsi="Calibri"/>
          <w:b w:val="0"/>
          <w:sz w:val="18"/>
        </w:rPr>
        <w:t>• НДС — не применяется (компания сохраняет общий режим)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Стандартный режим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Сколково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в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6 600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6 600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8 856 000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4 428 000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4 428 000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 (оценка)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4 934 600 руб.</w:t>
            </w:r>
          </w:p>
        </w:tc>
      </w:tr>
    </w:tbl>
    <w:p>
      <w:r>
        <w:rPr>
          <w:rFonts w:ascii="Calibri" w:hAnsi="Calibri"/>
          <w:b w:val="0"/>
          <w:color w:val="555555"/>
          <w:sz w:val="18"/>
        </w:rPr>
        <w:t>Обоснование: При текущих показателях выручки 341 млн руб. и прибыли 0.0 млн руб. экономия составляет ≈ 4.9 млн руб./год.</w:t>
      </w:r>
    </w:p>
    <w:p>
      <w:r>
        <w:rPr>
          <w:rFonts w:ascii="Calibri" w:hAnsi="Calibri"/>
          <w:b/>
          <w:color w:val="008000"/>
          <w:sz w:val="20"/>
        </w:rPr>
        <w:t>Прогноз на 10 лет: 45–55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Описание деятельности и продукции</w:t>
      </w:r>
    </w:p>
    <w:p>
      <w:r>
        <w:rPr>
          <w:rFonts w:ascii="Calibri" w:hAnsi="Calibri"/>
          <w:b w:val="0"/>
          <w:sz w:val="20"/>
        </w:rPr>
        <w:t>Компания специализируется на производстве газового оборудования: пункты редуцирования газа (ГРП, ГРПШ), регуляторы давления, запорно-предохранительная арматура, газораспределительные устройства. Предприятие работает 21 год, имеет сертификаты системы ГАЗСЕРТ, разрешения на применение оборудования в Казахстане и Беларуси. Продукция используется в системах газоснабжения промышленных объектов и жилых массивов.</w:t>
      </w:r>
    </w:p>
    <w:p/>
    <w:p>
      <w:pPr>
        <w:pStyle w:val="Heading2"/>
      </w:pPr>
      <w:r>
        <w:rPr>
          <w:rFonts w:ascii="Calibri" w:hAnsi="Calibri"/>
          <w:color w:val="1B3A5C"/>
        </w:rPr>
        <w:t>5. Интеллектуальная собственность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Зарегистрированные 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Свидетельства и 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Сертификаты ГАЗСЕРТ; разрешения МЧС Казахстана и Беларуси на газовое оборудование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volgagas.ru, волга-газ.рф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Госзакупки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Нет данных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Задолженность по налогам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Нет</w:t>
            </w:r>
          </w:p>
        </w:tc>
      </w:tr>
    </w:tbl>
    <w:p>
      <w:r>
        <w:rPr>
          <w:rFonts w:ascii="Calibri" w:hAnsi="Calibri"/>
          <w:b/>
          <w:color w:val="CC6600"/>
          <w:sz w:val="18"/>
        </w:rPr>
        <w:t>Рекомендация: В рамках подготовки заявки рекомендуется подача заявки на полезную модель по тематике проекта.</w:t>
      </w:r>
    </w:p>
    <w:p/>
    <w:p>
      <w:pPr>
        <w:pStyle w:val="Heading2"/>
      </w:pPr>
      <w:r>
        <w:rPr>
          <w:rFonts w:ascii="Calibri" w:hAnsi="Calibri"/>
          <w:color w:val="1B3A5C"/>
        </w:rPr>
        <w:t>6. Связанные компании</w:t>
      </w:r>
    </w:p>
    <w:p>
      <w:r>
        <w:rPr>
          <w:rFonts w:ascii="Calibri" w:hAnsi="Calibri"/>
          <w:b w:val="0"/>
          <w:sz w:val="20"/>
        </w:rPr>
        <w:t>Нет данных</w:t>
      </w:r>
    </w:p>
    <w:p/>
    <w:p>
      <w:pPr>
        <w:pStyle w:val="Heading2"/>
      </w:pPr>
      <w:r>
        <w:rPr>
          <w:rFonts w:ascii="Calibri" w:hAnsi="Calibri"/>
          <w:color w:val="1B3A5C"/>
        </w:rPr>
        <w:t>7. Инновационный потенциал и предмет заявки</w:t>
      </w:r>
    </w:p>
    <w:p>
      <w:r>
        <w:rPr>
          <w:rFonts w:ascii="Calibri" w:hAnsi="Calibri"/>
          <w:b/>
          <w:sz w:val="20"/>
        </w:rPr>
        <w:t>Система регулирования давления газа повышенной надёжности с защитой от аварийных режимов</w:t>
      </w:r>
    </w:p>
    <w:p>
      <w:r>
        <w:rPr>
          <w:rFonts w:ascii="Calibri" w:hAnsi="Calibri"/>
          <w:b w:val="0"/>
          <w:sz w:val="20"/>
        </w:rPr>
        <w:t>Разработка усовершенствованной системы регулирования давления газа для газораспределительных пунктов, включающая блок многоступенчатой защиты от аварийных режимов (превышение/понижение давления, скачки расхода) и систему удалённого мониторинга параметров. Оборудование обеспечивает повышенную безопасность газоснабжения промышленных и бытовых объектов.</w:t>
      </w:r>
    </w:p>
    <w:p/>
    <w:p>
      <w:pPr>
        <w:pStyle w:val="Heading2"/>
      </w:pPr>
      <w:r>
        <w:rPr>
          <w:rFonts w:ascii="Calibri" w:hAnsi="Calibri"/>
          <w:color w:val="1B3A5C"/>
        </w:rPr>
        <w:t>8. План действий и вывод</w:t>
      </w:r>
    </w:p>
    <w:p>
      <w:r>
        <w:rPr>
          <w:rFonts w:ascii="Calibri" w:hAnsi="Calibri"/>
          <w:b w:val="0"/>
          <w:sz w:val="18"/>
        </w:rPr>
        <w:t>1. Заключение договора на сопровождение заявки</w:t>
      </w:r>
    </w:p>
    <w:p>
      <w:r>
        <w:rPr>
          <w:rFonts w:ascii="Calibri" w:hAnsi="Calibri"/>
          <w:b w:val="0"/>
          <w:sz w:val="18"/>
        </w:rPr>
        <w:t>2. Подача заявки на полезную модель (4–5 мес.)</w:t>
      </w:r>
    </w:p>
    <w:p>
      <w:r>
        <w:rPr>
          <w:rFonts w:ascii="Calibri" w:hAnsi="Calibri"/>
          <w:b w:val="0"/>
          <w:sz w:val="18"/>
        </w:rPr>
        <w:t>3. Подготовка и подача заявки в Фонд «Сколково»</w:t>
      </w:r>
    </w:p>
    <w:p>
      <w:r>
        <w:rPr>
          <w:rFonts w:ascii="Calibri" w:hAnsi="Calibri"/>
          <w:b w:val="0"/>
          <w:sz w:val="18"/>
        </w:rPr>
        <w:t>4. Получение статуса Участника проекта (средний срок 4–6 мес.)</w:t>
      </w:r>
    </w:p>
    <w:p>
      <w:r>
        <w:rPr>
          <w:rFonts w:ascii="Calibri" w:hAnsi="Calibri"/>
          <w:b w:val="0"/>
          <w:sz w:val="18"/>
        </w:rPr>
        <w:t>5. Ежегодная экономия от 4.9 млн руб. на налогах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color w:val="008000"/>
          <w:sz w:val="20"/>
        </w:rPr>
        <w:t>ВЫВОД: Компания соответствует критериям для получения статуса резидента Сколково. Прогнозируемая налоговая экономия — 45–55 млн руб. за 10 лет.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