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/>
          <w:b/>
          <w:color w:val="1E293B"/>
          <w:sz w:val="18"/>
        </w:rPr>
        <w:t>КОНСАЛТИНГОВАЯ КОМПАНИЯ</w:t>
      </w:r>
    </w:p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32"/>
        </w:rPr>
        <w:t>ANDROMEDA CONSULT</w:t>
      </w:r>
    </w:p>
    <w:p>
      <w:pPr>
        <w:spacing w:after="40" w:before="0" w:line="276" w:lineRule="auto"/>
      </w:pPr>
      <w:r>
        <w:rPr>
          <w:rFonts w:ascii="Calibri" w:hAnsi="Calibri"/>
          <w:color w:val="64748B"/>
          <w:sz w:val="16"/>
        </w:rPr>
        <w:t>ИНН 7702464831  |  ОГРН 1197746181038  |  КПП 770201001</w:t>
      </w:r>
    </w:p>
    <w:p>
      <w:pPr>
        <w:spacing w:after="80" w:before="0" w:line="276" w:lineRule="auto"/>
      </w:pPr>
      <w:r>
        <w:rPr>
          <w:rFonts w:ascii="Calibri" w:hAnsi="Calibri"/>
          <w:color w:val="475569"/>
          <w:sz w:val="16"/>
        </w:rPr>
        <w:t>info@andromedaconsult.ru  |  andromedaconsult.ru  |  @andromedaconsult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20" w:line="276" w:lineRule="auto"/>
        <w:jc w:val="center"/>
      </w:pPr>
      <w:r>
        <w:rPr>
          <w:rFonts w:ascii="Calibri" w:hAnsi="Calibri"/>
          <w:b/>
          <w:color w:val="1E293B"/>
          <w:sz w:val="32"/>
        </w:rPr>
        <w:t>КОММЕРЧЕСКОЕ ПРЕДЛОЖЕНИЕ</w:t>
      </w:r>
    </w:p>
    <w:p>
      <w:pPr>
        <w:spacing w:after="40" w:before="0" w:line="276" w:lineRule="auto"/>
        <w:jc w:val="center"/>
      </w:pPr>
      <w:r>
        <w:rPr>
          <w:rFonts w:ascii="Calibri" w:hAnsi="Calibri"/>
          <w:b/>
          <w:color w:val="475569"/>
          <w:sz w:val="22"/>
        </w:rPr>
        <w:t>ООО «ООО «ЮМА-ПЭТ»» · ИНН 6161072769 · г. Ростов-на-Дону</w:t>
      </w:r>
    </w:p>
    <w:p>
      <w:pPr>
        <w:spacing w:after="240" w:before="0" w:line="276" w:lineRule="auto"/>
        <w:jc w:val="center"/>
      </w:pPr>
      <w:r>
        <w:rPr>
          <w:rFonts w:ascii="Calibri" w:hAnsi="Calibri"/>
          <w:color w:val="94A3B8"/>
          <w:sz w:val="18"/>
        </w:rPr>
        <w:t>09 июля 2026 г.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0" w:line="276" w:lineRule="auto"/>
      </w:pPr>
      <w:r>
        <w:rPr>
          <w:rFonts w:ascii="Calibri" w:hAnsi="Calibri"/>
          <w:color w:val="000000"/>
          <w:sz w:val="21"/>
        </w:rPr>
        <w:t>Консалтинговая компания «Андромеда консалтинг» предлагает Вам подготовить пакет документов для участия в следующих программах и направлениях: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получение статуса Участника «Сколково»;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включение Вашей компании в реестр Малых технологических компаний (МТК);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получение в приоритетном порядке патента на изобретение / полезную модель.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1. СТАТУС УЧАСТНИКА «СКОЛКОВО»</w:t>
      </w:r>
    </w:p>
    <w:p>
      <w:pPr>
        <w:spacing w:after="120" w:before="0" w:line="276" w:lineRule="auto"/>
      </w:pPr>
      <w:r>
        <w:rPr>
          <w:rFonts w:ascii="Calibri" w:hAnsi="Calibri"/>
          <w:color w:val="000000"/>
          <w:sz w:val="21"/>
        </w:rPr>
        <w:t>Для выявления возможности получения Вашей компанией налоговых преференций мы предлагаем провести анализ деятельности и подготовить заявку на получение статуса Участника Сколково. Резиденты ОЭЗ «Сколково» получают на 10 лет следующие налоговые льготы и поддержку: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Льгота по налогу на прибыль — 0%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Пониженные страховые взносы — 15%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Льгота на налог на имущество — 0%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Льготы по уплате таможенных платежей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Визово-миграционные льготы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Финансовая поддержка: гранты от 1,5 до 50 млн ₽</w:t>
      </w:r>
    </w:p>
    <w:p>
      <w:pPr>
        <w:spacing w:after="120" w:before="200" w:line="276" w:lineRule="auto"/>
      </w:pPr>
      <w:r>
        <w:rPr>
          <w:rFonts w:ascii="Calibri" w:hAnsi="Calibri"/>
          <w:b/>
          <w:color w:val="1E293B"/>
          <w:sz w:val="26"/>
        </w:rPr>
        <w:t>2. РЕЕСТР МАЛЫХ ТЕХНОЛОГИЧЕСКИХ КОМПАНИЙ (МТК)</w:t>
      </w:r>
    </w:p>
    <w:p>
      <w:pPr>
        <w:spacing w:after="120" w:before="0" w:line="276" w:lineRule="auto"/>
      </w:pPr>
      <w:r>
        <w:rPr>
          <w:rFonts w:ascii="Calibri" w:hAnsi="Calibri"/>
          <w:color w:val="000000"/>
          <w:sz w:val="21"/>
        </w:rPr>
        <w:t>Вхождение в реестр МТК открывает доступ к следующим мерам господдержки: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дополнительные баллы при участии в грантовых конкурсах;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льготный займ от Корпорации МСП до 2 млрд ₽;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упрощённая процедура защиты интеллектуальной собственности;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сниженная ставка по промышленной ипотеке;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пониженная ставка налога на прибыль (зависит от региона);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размещение на «Витрине стартапов» Минэкономразвития РФ;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поддержка спроса на инновационную продукцию и экспорт.</w:t>
      </w:r>
    </w:p>
    <w:p>
      <w:pPr>
        <w:spacing w:after="80" w:before="0" w:line="276" w:lineRule="auto"/>
      </w:pPr>
      <w:r>
        <w:rPr>
          <w:rFonts w:ascii="Calibri" w:hAnsi="Calibri"/>
          <w:color w:val="475569"/>
          <w:sz w:val="20"/>
        </w:rPr>
        <w:t>Данный список мер господдержки ежегодно дополняется, что расширяет возможности развития и конкуренции компаний, состоящих в реестре МТК.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3. ПРЕДВАРИТЕЛЬНЫЙ АНАЛИЗ КОМПАНИИ</w:t>
      </w:r>
    </w:p>
    <w:p>
      <w:pPr>
        <w:spacing w:after="120" w:before="0" w:line="276" w:lineRule="auto"/>
      </w:pPr>
      <w:r>
        <w:rPr>
          <w:rFonts w:ascii="Calibri" w:hAnsi="Calibri"/>
          <w:color w:val="000000"/>
          <w:sz w:val="21"/>
        </w:rPr>
        <w:t>На основе открытых источников нами проведён предварительный анализ Вашей компании. Ниже приведены основные данные, которые будут использованы при подготовке заявки.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8"/>
              </w:rPr>
              <w:t>Показатель</w:t>
            </w:r>
          </w:p>
        </w:tc>
        <w:tc>
          <w:tcPr>
            <w:tcW w:type="dxa" w:w="5102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8"/>
              </w:rPr>
              <w:t>Значение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Наименование</w:t>
            </w:r>
          </w:p>
        </w:tc>
        <w:tc>
          <w:tcPr>
            <w:tcW w:type="dxa" w:w="5102"/>
          </w:tcPr>
          <w:p>
            <w:r>
              <w:t>ООО «ЮМА-ПЭТ»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ИНН / ОГРН</w:t>
            </w:r>
          </w:p>
        </w:tc>
        <w:tc>
          <w:tcPr>
            <w:tcW w:type="dxa" w:w="5102"/>
            <w:shd w:fill="fafafa" w:val="clear"/>
          </w:tcPr>
          <w:p>
            <w:r>
              <w:t>6161072769 / 1156196035390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Дата регистрации</w:t>
            </w:r>
          </w:p>
        </w:tc>
        <w:tc>
          <w:tcPr>
            <w:tcW w:type="dxa" w:w="5102"/>
          </w:tcPr>
          <w:p>
            <w:r>
              <w:t>11.03.2015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Адрес</w:t>
            </w:r>
          </w:p>
        </w:tc>
        <w:tc>
          <w:tcPr>
            <w:tcW w:type="dxa" w:w="5102"/>
            <w:shd w:fill="fafafa" w:val="clear"/>
          </w:tcPr>
          <w:p>
            <w:r>
              <w:t>344023, г. Ростов-на-Дону, ул. Лебединская, д. 10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Основной ОКВЭД</w:t>
            </w:r>
          </w:p>
        </w:tc>
        <w:tc>
          <w:tcPr>
            <w:tcW w:type="dxa" w:w="5102"/>
          </w:tcPr>
          <w:p>
            <w:r>
              <w:t>22.22 — Производство пластмассовых изделий для упаковывания товаров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Численность</w:t>
            </w:r>
          </w:p>
        </w:tc>
        <w:tc>
          <w:tcPr>
            <w:tcW w:type="dxa" w:w="5102"/>
            <w:shd w:fill="fafafa" w:val="clear"/>
          </w:tcPr>
          <w:p>
            <w:r>
              <w:t>17 чел.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Выручка (средняя за 4 года)</w:t>
            </w:r>
          </w:p>
        </w:tc>
        <w:tc>
          <w:tcPr>
            <w:tcW w:type="dxa" w:w="5102"/>
          </w:tcPr>
          <w:p>
            <w:r>
              <w:t>406 млн руб. (2025)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Прогноз налоговой экономии при статусе резидента Сколково: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3969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Показатель</w:t>
            </w:r>
          </w:p>
        </w:tc>
        <w:tc>
          <w:tcPr>
            <w:tcW w:type="dxa" w:w="3969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Прогноз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Прогноз экономии в год</w:t>
            </w:r>
          </w:p>
        </w:tc>
        <w:tc>
          <w:tcPr>
            <w:tcW w:type="dxa" w:w="3969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2563EB"/>
                <w:sz w:val="19"/>
              </w:rPr>
              <w:t>406 млн руб. (2025) млн ₽</w:t>
            </w:r>
          </w:p>
        </w:tc>
      </w:tr>
      <w:tr>
        <w:tc>
          <w:tcPr>
            <w:tcW w:type="dxa" w:w="3969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Прогноз экономии на 10 лет</w:t>
            </w:r>
          </w:p>
        </w:tc>
        <w:tc>
          <w:tcPr>
            <w:tcW w:type="dxa" w:w="3969"/>
            <w:shd w:fill="fafafa" w:val="clear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406 млн руб. (2025) млн ₽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Окупаемость наших услуг</w:t>
            </w:r>
          </w:p>
        </w:tc>
        <w:tc>
          <w:tcPr>
            <w:tcW w:type="dxa" w:w="3969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6A34A"/>
                <w:sz w:val="19"/>
              </w:rPr>
              <w:t>3–6 месяцев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Готовность данных для заявки (на основе открытых источников):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135"/>
        <w:gridCol w:w="3135"/>
        <w:gridCol w:w="3135"/>
      </w:tblGrid>
      <w:tr>
        <w:tc>
          <w:tcPr>
            <w:tcW w:type="dxa" w:w="567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</w:r>
          </w:p>
        </w:tc>
        <w:tc>
          <w:tcPr>
            <w:tcW w:type="dxa" w:w="5102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Пункт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Статус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16A34A"/>
                <w:sz w:val="20"/>
              </w:rPr>
              <w:t>✓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Реквизиты, отчётность, ОКВЭД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6A34A"/>
                <w:sz w:val="19"/>
              </w:rPr>
              <w:t>Имеются</w:t>
            </w:r>
          </w:p>
        </w:tc>
      </w:tr>
      <w:tr>
        <w:tc>
          <w:tcPr>
            <w:tcW w:type="dxa" w:w="567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CA8A04"/>
                <w:sz w:val="20"/>
              </w:rPr>
              <w:t>⚡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Интеллектуальная собственность (патент)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CA8A04"/>
                <w:sz w:val="19"/>
              </w:rPr>
              <w:t>Требуется подача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CA8A04"/>
                <w:sz w:val="20"/>
              </w:rPr>
              <w:t>⚡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Описание продукта-инновации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CA8A04"/>
                <w:sz w:val="19"/>
              </w:rPr>
              <w:t>Прорабатывается совместно</w:t>
            </w:r>
          </w:p>
        </w:tc>
      </w:tr>
      <w:tr>
        <w:tc>
          <w:tcPr>
            <w:tcW w:type="dxa" w:w="567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DC2626"/>
                <w:sz w:val="20"/>
              </w:rPr>
              <w:t>✗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Фото продукции и производства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Требуется от клиента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DC2626"/>
                <w:sz w:val="20"/>
              </w:rPr>
              <w:t>✗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Личный кабинет lk.sk.ru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Требуется от клиента</w:t>
            </w:r>
          </w:p>
        </w:tc>
      </w:tr>
      <w:tr>
        <w:tc>
          <w:tcPr>
            <w:tcW w:type="dxa" w:w="567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DC2626"/>
                <w:sz w:val="20"/>
              </w:rPr>
              <w:t>✗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Документы сотрудников / штатное расписание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Требуется от клиента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4. ПОРЯДОК РАБОТЫ (ДОРОЖНАЯ КАРТА)</w:t>
      </w:r>
    </w:p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Необходимые люди и материалы со стороны Компании: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Руководитель компании, главный бухгалтер, главный технолог (инженер) — рабочая группа.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Информация о продукции: минимум — описание и технические характеристики, максимум — чертежи и техническая документация.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Описание технологии, которая проходит через все направления деятельности.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Фото производства, оборудования, готовой продукции.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4–5 человек — команда проекта: заявления, дипломы (техническое образование), регалии.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Базовые цифры для экономической модели: себестоимость, покупатели, поставщики.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Патенты (при наличии) или описание технологий, применяемых в работе.</w:t>
      </w:r>
    </w:p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Последовательность работ: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1. Согласование тематики заявки и предмета инновации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Устно с руководителем проекта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2. Согласование и подписание договора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3. Авансовый платёж (250 000 ₽)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4. Формирование рабочей группы в Telegram/МАКС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Назначается главный аналитик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5. Сбор базовых документов и формирование заявки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Срок: 2–3 недели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6. Согласование заявки с Компанией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Срок: 3–4 дня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7. Подача заявки в Сколково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Экстерриториальный резидент ОЭЗ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8. Ожидание результатов экспертизы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1–2 месяца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9. В случае отказа — доработка и переподача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7–9 дней + ~1 месяц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10. В случае победы — подготовка письма для вступления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7–10 дней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11. Подача заявки на статус МТК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10–15 дней после Сколково</w:t>
      </w:r>
    </w:p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После получения статуса резидента Сколково и МТК — по желанию заключаем договор на ведение отчётности: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4 квартальных отчёта + 1 годовой отчёт (125 000 ₽ за сопровождение)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5. СТОИМОСТЬ УСЛУГ</w:t>
      </w:r>
    </w:p>
    <w:p>
      <w:pPr>
        <w:spacing w:after="120" w:before="0" w:line="276" w:lineRule="auto"/>
      </w:pPr>
      <w:r>
        <w:rPr>
          <w:rFonts w:ascii="Calibri" w:hAnsi="Calibri"/>
          <w:color w:val="000000"/>
          <w:sz w:val="21"/>
        </w:rPr>
        <w:t>Наша консалтинговая компания предлагает Вам подготовку пакета документов на следующих условиях: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5102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Услуга</w:t>
            </w:r>
          </w:p>
        </w:tc>
        <w:tc>
          <w:tcPr>
            <w:tcW w:type="dxa" w:w="2835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Стоимость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20"/>
              </w:rPr>
              <w:t>Аванс за формирование и подачу пакета документов (Сколково + МТК)</w:t>
            </w:r>
          </w:p>
        </w:tc>
        <w:tc>
          <w:tcPr>
            <w:tcW w:type="dxa" w:w="2835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250 000 ₽</w:t>
            </w:r>
          </w:p>
        </w:tc>
      </w:tr>
      <w:tr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20"/>
              </w:rPr>
              <w:t>Подготовка заявки в ФИПС / Росреестр (патент на полезную модель)</w:t>
            </w:r>
          </w:p>
        </w:tc>
        <w:tc>
          <w:tcPr>
            <w:tcW w:type="dxa" w:w="2835"/>
            <w:shd w:fill="fafafa" w:val="clear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90 000 ₽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D1D5DB"/>
                <w:sz w:val="12"/>
              </w:rPr>
              <w:t>───────────────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563EB"/>
                <w:sz w:val="20"/>
              </w:rPr>
              <w:t>Вознаграждение: получение статуса Участника «Сколково»</w:t>
            </w:r>
          </w:p>
        </w:tc>
        <w:tc>
          <w:tcPr>
            <w:tcW w:type="dxa" w:w="2835"/>
            <w:shd w:fill="fafafa" w:val="clear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2563EB"/>
                <w:sz w:val="20"/>
              </w:rPr>
              <w:t>550 000 ₽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7C3AED"/>
                <w:sz w:val="20"/>
              </w:rPr>
              <w:t>Вознаграждение: включение в реестр МТК</w:t>
            </w:r>
          </w:p>
        </w:tc>
        <w:tc>
          <w:tcPr>
            <w:tcW w:type="dxa" w:w="2835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7C3AED"/>
                <w:sz w:val="20"/>
              </w:rPr>
              <w:t>150 000 ₽</w:t>
            </w:r>
          </w:p>
        </w:tc>
      </w:tr>
    </w:tbl>
    <w:p/>
    <w:tbl>
      <w:tblPr>
        <w:tblBorders>
          <w:top w:val="single" w:sz="8" w:space="0" w:color="fecaca"/>
          <w:bottom w:val="single" w:sz="8" w:space="0" w:color="fecaca"/>
          <w:left w:val="single" w:sz="8" w:space="0" w:color="fecaca"/>
          <w:right w:val="single" w:sz="8" w:space="0" w:color="fecaca"/>
        </w:tblBorders>
      </w:tblPr>
      <w:tblGrid>
        <w:gridCol w:w="9406"/>
      </w:tblGrid>
      <w:tr>
        <w:tc>
          <w:tcPr>
            <w:tcW w:type="dxa" w:w="7937"/>
            <w:shd w:fill="fef2f2" w:val="clear"/>
          </w:tcPr>
          <w:p>
            <w:pPr>
              <w:spacing w:before="160" w:after="160"/>
              <w:jc w:val="center"/>
            </w:pPr>
            <w:r/>
            <w:r>
              <w:rPr>
                <w:rFonts w:ascii="Calibri" w:hAnsi="Calibri"/>
                <w:b/>
                <w:color w:val="DC2626"/>
                <w:sz w:val="22"/>
              </w:rPr>
              <w:t>ИТОГО ПРИ УСПЕШНОМ ПРОХОЖДЕНИИ ВСЕХ ЭТАПОВ: 1 040 000 ₽</w:t>
              <w:br/>
              <w:t>Авансовая часть: 340 000 ₽ (250 000 + 90 000) · Success fee: 700 000 ₽ (550 000 + 150 000)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Условия: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Договор заключается на 3 подачи (обычно хватает 2).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Переподача свыше 3 раз — 25 000 ₽ за каждую.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НДС не облагается (УСН).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Оплата вознаграждения — после получения положительного результата (протокол Сколково / включение в МТК).</w:t>
      </w:r>
    </w:p>
    <w:p/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6. ЧТО ПОЛУЧАЕТ КОМПАНИЯ</w:t>
      </w:r>
    </w:p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БЛОК I — Гарантированные льготы (без конкурсов):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Налог на прибыль — 0% (на 10 лет)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Налог на имущество — 0% (на 10 лет)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Страховые взносы — 15% (на зп свыше 1,5×МРОТ)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НДС — 0% (опционально)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При покупке оборудования и комплектующих из-за рубежа — НДС и пошлина 0%</w:t>
      </w:r>
    </w:p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БЛОК II — Через конкурсы (гранты):</w:t>
      </w:r>
    </w:p>
    <w:p>
      <w:pPr>
        <w:pStyle w:val="ListBullet"/>
        <w:spacing w:after="40"/>
      </w:pPr>
      <w:r>
        <w:rPr>
          <w:rFonts w:ascii="Calibri" w:hAnsi="Calibri"/>
          <w:color w:val="2563EB"/>
          <w:sz w:val="21"/>
        </w:rPr>
        <w:t>Гранты Сколково от 1,5 до 50 млн ₽</w:t>
      </w:r>
    </w:p>
    <w:p>
      <w:pPr>
        <w:pStyle w:val="ListBullet"/>
        <w:spacing w:after="40"/>
      </w:pPr>
      <w:r>
        <w:rPr>
          <w:rFonts w:ascii="Calibri" w:hAnsi="Calibri"/>
          <w:color w:val="2563EB"/>
          <w:sz w:val="21"/>
        </w:rPr>
        <w:t>Дополнительные баллы при участии в грантах ФСИ</w:t>
      </w:r>
    </w:p>
    <w:p>
      <w:pPr>
        <w:pStyle w:val="ListBullet"/>
        <w:spacing w:after="40"/>
      </w:pPr>
      <w:r>
        <w:rPr>
          <w:rFonts w:ascii="Calibri" w:hAnsi="Calibri"/>
          <w:color w:val="2563EB"/>
          <w:sz w:val="21"/>
        </w:rPr>
        <w:t>Ускоренная процедура получения статуса МТК</w:t>
      </w:r>
    </w:p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БЛОК III — Бонусы для МТК: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1"/>
        </w:rPr>
        <w:t>Специальные кредитные программы от 3% до 12% годовых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1"/>
        </w:rPr>
        <w:t>Дополнительные баллы в грантах ФСИ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1"/>
        </w:rPr>
        <w:t>Сниженные требования для участия в конкурсе ЦПИИ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1"/>
        </w:rPr>
        <w:t>Преимущества при участии в торгах по 223-ФЗ и 44-ФЗ</w:t>
      </w:r>
    </w:p>
    <w:p/>
    <w:tbl>
      <w:tblPr>
        <w:tblBorders>
          <w:top w:val="single" w:sz="8" w:space="0" w:color="86efac"/>
          <w:bottom w:val="single" w:sz="8" w:space="0" w:color="86efac"/>
          <w:left w:val="single" w:sz="8" w:space="0" w:color="86efac"/>
          <w:right w:val="single" w:sz="8" w:space="0" w:color="86efac"/>
        </w:tblBorders>
      </w:tblPr>
      <w:tblGrid>
        <w:gridCol w:w="9406"/>
      </w:tblGrid>
      <w:tr>
        <w:tc>
          <w:tcPr>
            <w:tcW w:type="dxa" w:w="7937"/>
            <w:shd w:fill="f0fdf4" w:val="clear"/>
          </w:tcPr>
          <w:p>
            <w:pPr>
              <w:spacing w:before="160" w:after="160"/>
              <w:jc w:val="center"/>
            </w:pPr>
            <w:r/>
            <w:r>
              <w:rPr>
                <w:rFonts w:ascii="Calibri" w:hAnsi="Calibri"/>
                <w:b/>
                <w:color w:val="16A34A"/>
                <w:sz w:val="22"/>
              </w:rPr>
              <w:t>Окупаемость наших услуг: 3–6 месяцев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160" w:line="276" w:lineRule="auto"/>
      </w:pPr>
      <w:r>
        <w:rPr>
          <w:rFonts w:ascii="Calibri" w:hAnsi="Calibri"/>
          <w:color w:val="000000"/>
          <w:sz w:val="21"/>
        </w:rPr>
        <w:t>Будем рады ответить на Ваши вопросы по телефону +7 916 770-25-55 или по электронной почте info@andromedaconsult.ru. Благодарим Вас за внимание, мы открыты к сотрудничеству!</w:t>
      </w:r>
    </w:p>
    <w:p>
      <w:pPr>
        <w:spacing w:after="40" w:before="0" w:line="276" w:lineRule="auto"/>
      </w:pPr>
      <w:r>
        <w:rPr>
          <w:rFonts w:ascii="Calibri" w:hAnsi="Calibri"/>
          <w:color w:val="000000"/>
          <w:sz w:val="21"/>
        </w:rPr>
        <w:t>С уважением,</w:t>
      </w:r>
    </w:p>
    <w:p>
      <w:pPr>
        <w:spacing w:after="40" w:before="0" w:line="276" w:lineRule="auto"/>
      </w:pPr>
      <w:r>
        <w:rPr>
          <w:rFonts w:ascii="Calibri" w:hAnsi="Calibri"/>
          <w:b/>
          <w:color w:val="1E293B"/>
          <w:sz w:val="21"/>
        </w:rPr>
        <w:t>Генеральный директор, Анна Наумова</w:t>
      </w:r>
    </w:p>
    <w:p>
      <w:pPr>
        <w:spacing w:after="120" w:before="0" w:line="276" w:lineRule="auto"/>
      </w:pPr>
      <w:r>
        <w:rPr>
          <w:rFonts w:ascii="Calibri" w:hAnsi="Calibri"/>
          <w:color w:val="475569"/>
          <w:sz w:val="20"/>
        </w:rPr>
        <w:t>ООО «Андромеда консалтинг»</w:t>
      </w:r>
    </w:p>
    <w:sectPr w:rsidR="00FC693F" w:rsidRPr="0006063C" w:rsidSect="00034616">
      <w:pgSz w:w="12240" w:h="15840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