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сопровождение получения статуса резидента Фонда «Сколково»</w:t>
        <w:br/>
        <w:t>для ООО «АЛТАЙ-ЛАВАШ»</w:t>
      </w:r>
    </w:p>
    <w:p>
      <w:r>
        <w:rPr>
          <w:b/>
          <w:color w:val="2D2D2D"/>
          <w:sz w:val="22"/>
        </w:rPr>
        <w:t>Данные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Компания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«АЛТАЙ-ЛАВАШ»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2222859799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1172225026511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Руководитель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Осетров Евгений Анатольевич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Вид деятельности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10.71 — Производство хлеба и мучных кондитерских изделий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 чел.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19 400 000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АУСН</w:t>
            </w:r>
          </w:p>
        </w:tc>
      </w:tr>
    </w:tbl>
    <w:p>
      <w:r>
        <w:rPr>
          <w:b/>
          <w:color w:val="2D2D2D"/>
          <w:sz w:val="22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sz w:val="20"/>
        </w:rPr>
      </w:r>
    </w:p>
    <w:p>
      <w:r>
        <w:rPr>
          <w:sz w:val="20"/>
        </w:rPr>
        <w:t>✅ Дополнительно: освобождение от НДС — особенно актуально для компаний на УСН с выручкой &gt; 20 млн руб.</w:t>
      </w:r>
    </w:p>
    <w:p>
      <w:r>
        <w:rPr>
          <w:b/>
          <w:color w:val="2D2D2D"/>
          <w:sz w:val="22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Сколково.</w:t>
      </w:r>
    </w:p>
    <w:p>
      <w:r>
        <w:rPr>
          <w:b/>
          <w:color w:val="2D2D2D"/>
          <w:sz w:val="22"/>
        </w:rPr>
        <w:t>3. Расчёт налоговой экономии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До (ОСН/УСН)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 / УСН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96 800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96 800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1 000 000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500 000 руб.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80 000 руб. (оценка)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80 000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600 000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📌 Дополнительная экономия по НДС:</w:t>
      </w:r>
    </w:p>
    <w:p>
      <w:r>
        <w:rPr>
          <w:sz w:val="20"/>
        </w:rPr>
        <w:t>Дополнительно: компания на АУСН с выручкой свыше 20 млн руб./год обязана уплачивать НДС. Статус резидента Сколково освобождает от НДС, что даёт дополнительную экономию ориентировочно 3–5 млн руб. за 10 лет.</w:t>
      </w:r>
    </w:p>
    <w:p>
      <w:r>
        <w:rPr>
          <w:sz w:val="20"/>
        </w:rPr>
      </w:r>
    </w:p>
    <w:p>
      <w:r>
        <w:rPr>
          <w:sz w:val="20"/>
        </w:rPr>
        <w:t>Прогноз минимальной экономии за 10 лет: 6 млн руб.</w:t>
      </w:r>
    </w:p>
    <w:p>
      <w:r>
        <w:rPr>
          <w:b/>
          <w:color w:val="2D2D2D"/>
          <w:sz w:val="22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проверка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Сотрудники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Нет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Патенты / ИС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2D2D2D"/>
          <w:sz w:val="22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Success fee — МТК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80 000 ₽</w:t>
            </w:r>
          </w:p>
        </w:tc>
      </w:tr>
    </w:tbl>
    <w:p>
      <w:r>
        <w:rPr>
          <w:b/>
          <w:color w:val="2D2D2D"/>
          <w:sz w:val="22"/>
        </w:rPr>
        <w:t>6. Дорожная карта</w:t>
      </w:r>
    </w:p>
    <w:p>
      <w:r>
        <w:rPr>
          <w:sz w:val="20"/>
        </w:rPr>
        <w:t>1. Заключение договора → оплата аванса</w:t>
      </w:r>
    </w:p>
    <w:p>
      <w:r>
        <w:rPr>
          <w:sz w:val="20"/>
        </w:rPr>
        <w:t>2. Сбор и подготовка документов (1–2 недели)</w:t>
      </w:r>
    </w:p>
    <w:p>
      <w:r>
        <w:rPr>
          <w:sz w:val="20"/>
        </w:rPr>
        <w:t>3. Подача заявки на патент (полезная модель) — 80 000 ₽</w:t>
      </w:r>
    </w:p>
    <w:p>
      <w:r>
        <w:rPr>
          <w:sz w:val="20"/>
        </w:rPr>
        <w:t>4. Подача заявки в Фонд «Сколково»</w:t>
      </w:r>
    </w:p>
    <w:p>
      <w:r>
        <w:rPr>
          <w:sz w:val="20"/>
        </w:rPr>
        <w:t>5. Получение статуса Участника проекта</w:t>
      </w:r>
    </w:p>
    <w:p>
      <w:r>
        <w:rPr>
          <w:sz w:val="20"/>
        </w:rPr>
        <w:t>6. Оплата success-fee</w:t>
      </w:r>
    </w:p>
    <w:p>
      <w:r>
        <w:rPr>
          <w:sz w:val="20"/>
        </w:rPr>
        <w:t>7. Ежегодная экономия на налогах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