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КОММЕРЧЕСКОЕ ПРЕДЛОЖЕНИЕ</w:t>
        <w:br/>
      </w:r>
      <w:r>
        <w:rPr>
          <w:sz w:val="22"/>
        </w:rPr>
        <w:t>ООО «НПО Поволжский завод сорбентов «Татсорб» | ИНН 1658176580 | г. Казань</w:t>
      </w:r>
    </w:p>
    <w:p/>
    <w:p>
      <w:r>
        <w:rPr>
          <w:b/>
          <w:sz w:val="24"/>
        </w:rPr>
        <w:t>1. СТАТУС УЧАСТНИКА «СКОЛКОВО»</w:t>
      </w:r>
    </w:p>
    <w:p>
      <w:r>
        <w:t>Резиденты ОЭЗ «Сколково» получают на 10 лет:</w:t>
      </w:r>
    </w:p>
    <w:p>
      <w:pPr>
        <w:pStyle w:val="ListBullet"/>
      </w:pPr>
      <w:r>
        <w:t>Налог на прибыль — 0% (при переходе на ОСН)</w:t>
      </w:r>
    </w:p>
    <w:p>
      <w:pPr>
        <w:pStyle w:val="ListBullet"/>
      </w:pPr>
      <w:r>
        <w:t>Пониженные страховые взносы — 15%</w:t>
      </w:r>
    </w:p>
    <w:p>
      <w:pPr>
        <w:pStyle w:val="ListBullet"/>
      </w:pPr>
      <w:r>
        <w:t>Льгота на налог на имущество — 0%</w:t>
      </w:r>
    </w:p>
    <w:p>
      <w:pPr>
        <w:pStyle w:val="ListBullet"/>
      </w:pPr>
      <w:r>
        <w:t>Престиж статуса и доступ к грантовым программам</w:t>
      </w:r>
    </w:p>
    <w:p>
      <w:r>
        <w:rPr>
          <w:b/>
          <w:sz w:val="24"/>
        </w:rPr>
        <w:t>2. ПРЕДВАРИТЕЛЬНЫЙ АНАЛИЗ</w:t>
      </w:r>
    </w:p>
    <w:p>
      <w:r>
        <w:t>Доходы: 155 млн руб (2025) | Прибыль: 17.5 млн руб | Сотрудников: 18</w:t>
      </w:r>
    </w:p>
    <w:p>
      <w:r>
        <w:t>Прогноз экономии: ~5 млн руб/год, ~50+ млн за 10 лет</w:t>
      </w:r>
    </w:p>
    <w:p>
      <w:r>
        <w:t>Налоговый режим: УСН. При входе в Сколково — переход на ОСН.</w:t>
      </w:r>
    </w:p>
    <w:p>
      <w:r>
        <w:rPr>
          <w:b/>
          <w:sz w:val="24"/>
        </w:rPr>
        <w:t>3.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Аванс (входит в стоимость пакета)</w:t>
            </w:r>
          </w:p>
        </w:tc>
        <w:tc>
          <w:tcPr>
            <w:tcW w:type="dxa" w:w="4320"/>
          </w:tcPr>
          <w:p>
            <w:r>
              <w:t>250 000 руб</w:t>
            </w:r>
          </w:p>
        </w:tc>
      </w:tr>
      <w:tr>
        <w:tc>
          <w:tcPr>
            <w:tcW w:type="dxa" w:w="4320"/>
          </w:tcPr>
          <w:p>
            <w:r>
              <w:t>Success fee — Сколково</w:t>
            </w:r>
          </w:p>
        </w:tc>
        <w:tc>
          <w:tcPr>
            <w:tcW w:type="dxa" w:w="4320"/>
          </w:tcPr>
          <w:p>
            <w:r>
              <w:t>~500 000 руб</w:t>
            </w:r>
          </w:p>
        </w:tc>
      </w:tr>
      <w:tr>
        <w:tc>
          <w:tcPr>
            <w:tcW w:type="dxa" w:w="4320"/>
          </w:tcPr>
          <w:p>
            <w:r>
              <w:t>Success fee — МТК</w:t>
            </w:r>
          </w:p>
        </w:tc>
        <w:tc>
          <w:tcPr>
            <w:tcW w:type="dxa" w:w="4320"/>
          </w:tcPr>
          <w:p>
            <w:r>
              <w:t>~150 000 руб</w:t>
            </w:r>
          </w:p>
        </w:tc>
      </w:tr>
      <w:tr>
        <w:tc>
          <w:tcPr>
            <w:tcW w:type="dxa" w:w="4320"/>
          </w:tcPr>
          <w:p>
            <w:r>
              <w:t>Патент (опционально)</w:t>
            </w:r>
          </w:p>
        </w:tc>
        <w:tc>
          <w:tcPr>
            <w:tcW w:type="dxa" w:w="4320"/>
          </w:tcPr>
          <w:p>
            <w:r>
              <w:t>~80 000 руб</w:t>
            </w:r>
          </w:p>
        </w:tc>
      </w:tr>
    </w:tbl>
    <w:p/>
    <w:p>
      <w:r>
        <w:t>Договор на 3 подачи. НДС не облагается (УСН).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