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КОНСАЛТИНГОВАЯ КОМПАНИЯ</w:t>
        <w:br/>
        <w:t>ANDROMEDA CONSULT</w:t>
        <w:br/>
      </w:r>
      <w:r>
        <w:rPr>
          <w:sz w:val="16"/>
        </w:rPr>
        <w:t>ИНН 7702464831 | ОГРН 1197746181038 | КПП 770201001</w:t>
        <w:br/>
      </w:r>
      <w:r>
        <w:rPr>
          <w:sz w:val="16"/>
        </w:rPr>
        <w:t>info@andromedaconsult.ru | andromedaconsult.ru</w:t>
      </w:r>
    </w:p>
    <w:p>
      <w:pPr>
        <w:jc w:val="center"/>
      </w:pPr>
      <w:r>
        <w:rPr>
          <w:b/>
          <w:sz w:val="32"/>
        </w:rPr>
        <w:br/>
        <w:t>АНКЕТА КЛИЕНТА</w:t>
        <w:br/>
      </w:r>
      <w:r>
        <w:rPr>
          <w:sz w:val="22"/>
        </w:rPr>
        <w:br/>
        <w:t>ООО «НПО Поволжский завод сорбентов «Татсорб» | ИНН 1658176580</w:t>
      </w:r>
    </w:p>
    <w:p/>
    <w:p>
      <w:r>
        <w:rPr>
          <w:b/>
          <w:sz w:val="24"/>
        </w:rPr>
        <w:t>1. 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«Научно-производственное объединение Поволжский завод сорбентов «Татсорб»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1658176580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165501001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1151690013441</w:t>
            </w:r>
          </w:p>
        </w:tc>
      </w:tr>
      <w:tr>
        <w:tc>
          <w:tcPr>
            <w:tcW w:type="dxa" w:w="4320"/>
          </w:tcPr>
          <w:p>
            <w:r>
              <w:t>Дата регистрации</w:t>
            </w:r>
          </w:p>
        </w:tc>
        <w:tc>
          <w:tcPr>
            <w:tcW w:type="dxa" w:w="4320"/>
          </w:tcPr>
          <w:p>
            <w:r>
              <w:t>19.02.2015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420006, г. Казань, ул. Рахимова, д. 59ж, офис 2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Шмелёв Евгений Сергеевич</w:t>
            </w:r>
          </w:p>
        </w:tc>
      </w:tr>
      <w:tr>
        <w:tc>
          <w:tcPr>
            <w:tcW w:type="dxa" w:w="4320"/>
          </w:tcPr>
          <w:p>
            <w:r>
              <w:t>ОКВЭД основной</w:t>
            </w:r>
          </w:p>
        </w:tc>
        <w:tc>
          <w:tcPr>
            <w:tcW w:type="dxa" w:w="4320"/>
          </w:tcPr>
          <w:p>
            <w:r>
              <w:t>20.59.5 — Производство прочих химических продуктов (сорбенты)</w:t>
            </w:r>
          </w:p>
        </w:tc>
      </w:tr>
      <w:tr>
        <w:tc>
          <w:tcPr>
            <w:tcW w:type="dxa" w:w="4320"/>
          </w:tcPr>
          <w:p>
            <w:r>
              <w:t>Налоговый режим</w:t>
            </w:r>
          </w:p>
        </w:tc>
        <w:tc>
          <w:tcPr>
            <w:tcW w:type="dxa" w:w="4320"/>
          </w:tcPr>
          <w:p>
            <w:r>
              <w:t>УСН</w:t>
            </w:r>
          </w:p>
        </w:tc>
      </w:tr>
      <w:tr>
        <w:tc>
          <w:tcPr>
            <w:tcW w:type="dxa" w:w="4320"/>
          </w:tcPr>
          <w:p>
            <w:r>
              <w:t>Сотрудники</w:t>
            </w:r>
          </w:p>
        </w:tc>
        <w:tc>
          <w:tcPr>
            <w:tcW w:type="dxa" w:w="4320"/>
          </w:tcPr>
          <w:p>
            <w:r>
              <w:t>18 чел.</w:t>
            </w:r>
          </w:p>
        </w:tc>
      </w:tr>
    </w:tbl>
    <w:p/>
    <w:p>
      <w:r>
        <w:rPr>
          <w:b/>
          <w:sz w:val="24"/>
        </w:rPr>
        <w:t>2.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Доходы 2025</w:t>
            </w:r>
          </w:p>
        </w:tc>
        <w:tc>
          <w:tcPr>
            <w:tcW w:type="dxa" w:w="4320"/>
          </w:tcPr>
          <w:p>
            <w:r>
              <w:t>155 млн руб</w:t>
            </w:r>
          </w:p>
        </w:tc>
      </w:tr>
      <w:tr>
        <w:tc>
          <w:tcPr>
            <w:tcW w:type="dxa" w:w="4320"/>
          </w:tcPr>
          <w:p>
            <w:r>
              <w:t>Прибыль 2025</w:t>
            </w:r>
          </w:p>
        </w:tc>
        <w:tc>
          <w:tcPr>
            <w:tcW w:type="dxa" w:w="4320"/>
          </w:tcPr>
          <w:p>
            <w:r>
              <w:t>17.5 млн руб</w:t>
            </w:r>
          </w:p>
        </w:tc>
      </w:tr>
    </w:tbl>
    <w:p/>
    <w:p>
      <w:r>
        <w:rPr>
          <w:b/>
          <w:sz w:val="24"/>
        </w:rPr>
        <w:t>3. ПРОДУКЦИЯ И ИННОВАЦИИ</w:t>
      </w:r>
    </w:p>
    <w:p>
      <w:r>
        <w:t>Химические сорбенты, неорганические и органические химические вещества, пластиковые и синтетические смолы, моющие средства</w:t>
      </w:r>
    </w:p>
    <w:p>
      <w:r>
        <w:t>Инновационный потенциал: Производство сорбентов с улучшенными сорбционными характеристиками — инновационная химическая продукция, патентуемые составы и технологии</w:t>
      </w:r>
    </w:p>
    <w:p/>
    <w:p>
      <w:r>
        <w:rPr>
          <w:b/>
          <w:sz w:val="24"/>
        </w:rPr>
        <w:t>4. ПРОГНОЗ ЭКОНОМИИ (Сколково)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Экономия в год</w:t>
            </w:r>
          </w:p>
        </w:tc>
        <w:tc>
          <w:tcPr>
            <w:tcW w:type="dxa" w:w="4320"/>
          </w:tcPr>
          <w:p>
            <w:r>
              <w:t>~5 млн руб (страховые взносы)</w:t>
            </w:r>
          </w:p>
        </w:tc>
      </w:tr>
      <w:tr>
        <w:tc>
          <w:tcPr>
            <w:tcW w:type="dxa" w:w="4320"/>
          </w:tcPr>
          <w:p>
            <w:r>
              <w:t>Экономия за 10 лет</w:t>
            </w:r>
          </w:p>
        </w:tc>
        <w:tc>
          <w:tcPr>
            <w:tcW w:type="dxa" w:w="4320"/>
          </w:tcPr>
          <w:p>
            <w:r>
              <w:t>~50+ млн руб</w:t>
            </w:r>
          </w:p>
        </w:tc>
      </w:tr>
    </w:tbl>
    <w:p/>
    <w:p>
      <w:r>
        <w:rPr>
          <w:i/>
          <w:sz w:val="16"/>
        </w:rPr>
        <w:t>Подготовлено на основе открытых источников (list-org.com, ФНС)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