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КОММЕРЧЕСКОЕ ПРЕДЛОЖЕНИЕ</w:t>
        <w:br/>
        <w:t>на сопровождение получения статуса резидента Фонда «Сколково»</w:t>
        <w:br/>
        <w:t>для ООО «СтеклоДизайн»</w:t>
      </w:r>
    </w:p>
    <w:p>
      <w:r>
        <w:rPr>
          <w:b/>
          <w:color w:val="141E3C"/>
          <w:sz w:val="24"/>
        </w:rPr>
        <w:t>Данные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Компания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ООО «СтеклоДизайн»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3123201898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Синюк Сергей Васильевич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Вид деятельности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23.12 Формирование и обработка листового стекла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2025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357.6 млн руб.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Система налогообложения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ОСН (рекомендуется)</w:t>
            </w:r>
          </w:p>
        </w:tc>
      </w:tr>
    </w:tbl>
    <w:p>
      <w:r>
        <w:rPr>
          <w:b/>
          <w:color w:val="141E3C"/>
          <w:sz w:val="24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141E3C"/>
          <w:sz w:val="24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 и дающий доступ к мерам поддержки.</w:t>
      </w:r>
    </w:p>
    <w:p>
      <w:r>
        <w:rPr>
          <w:b/>
          <w:color w:val="141E3C"/>
          <w:sz w:val="24"/>
        </w:rPr>
        <w:t>3. Расчёт налоговой экономии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Показатель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До (ОСН)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После (Сколково)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Экономия / год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700,000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700,000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16,092,000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8,046,000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8,046,000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1,788,000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1,788,000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ИТОГО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10,534,000 руб.</w:t>
            </w:r>
          </w:p>
        </w:tc>
      </w:tr>
    </w:tbl>
    <w:p>
      <w:r>
        <w:rPr>
          <w:sz w:val="20"/>
        </w:rPr>
        <w:t>Прогноз экономии за 10 лет: 105 млн руб.</w:t>
      </w:r>
    </w:p>
    <w:p>
      <w:r>
        <w:rPr>
          <w:b/>
          <w:color w:val="141E3C"/>
          <w:sz w:val="24"/>
        </w:rPr>
        <w:t>4. Готовность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Критерий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 (357.6 млн руб.)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Сайт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Патенты / ИС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Инновационные критерии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141E3C"/>
          <w:sz w:val="24"/>
        </w:rPr>
        <w:t>5. Состав услуг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Описание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Срок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Аудит и анализ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Сбор данных, проверка критериев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3–5 дней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Патентование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4–5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Сколково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4–6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2–3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МТК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