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сопровождение получения статуса резидента Фонда «Сколково»</w:t>
        <w:br/>
        <w:t>для ООО «ПК КАРТОНТАРА»</w:t>
      </w:r>
    </w:p>
    <w:p>
      <w:r>
        <w:rPr>
          <w:b/>
          <w:color w:val="2D2D2D"/>
          <w:sz w:val="22"/>
        </w:rPr>
        <w:t>Данные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Компания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«ПК КАРТОНТАРА»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5050136574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1185050001575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Руководитель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Гзогян Мкртич Володяевич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Вид деятельности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17.21 —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22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287 000 000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ОСН</w:t>
            </w:r>
          </w:p>
        </w:tc>
      </w:tr>
    </w:tbl>
    <w:p>
      <w:r>
        <w:rPr>
          <w:b/>
          <w:color w:val="2D2D2D"/>
          <w:sz w:val="22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b/>
          <w:color w:val="2D2D2D"/>
          <w:sz w:val="22"/>
        </w:rPr>
        <w:t>2. Реестр МТК</w:t>
      </w:r>
    </w:p>
    <w:p>
      <w:r>
        <w:rPr>
          <w:sz w:val="20"/>
        </w:rPr>
        <w:t>Статус МТК — дополнительный статус, упрощающий вход в Сколково.</w:t>
      </w:r>
    </w:p>
    <w:p>
      <w:r>
        <w:rPr>
          <w:b/>
          <w:color w:val="2D2D2D"/>
          <w:sz w:val="22"/>
        </w:rPr>
        <w:t>3. Расчёт налоговой экономии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460 000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460 000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3 960 000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1 980 000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1 980 000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2 540 000 руб./год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минимальной экономии за 10 лет: 75 млн руб.</w:t>
      </w:r>
    </w:p>
    <w:p>
      <w:r>
        <w:rPr>
          <w:b/>
          <w:color w:val="2D2D2D"/>
          <w:sz w:val="22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Патенты / ИС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ОСН</w:t>
            </w:r>
          </w:p>
        </w:tc>
      </w:tr>
    </w:tbl>
    <w:p>
      <w:r>
        <w:rPr>
          <w:b/>
          <w:color w:val="2D2D2D"/>
          <w:sz w:val="22"/>
        </w:rPr>
        <w:t>5. Стоимость услуг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Success fee — МТК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₽</w:t>
            </w:r>
          </w:p>
        </w:tc>
      </w:tr>
    </w:tbl>
    <w:p>
      <w:r>
        <w:rPr>
          <w:b/>
          <w:color w:val="2D2D2D"/>
          <w:sz w:val="22"/>
        </w:rPr>
        <w:t>6. Дорожная карта</w:t>
      </w:r>
    </w:p>
    <w:p>
      <w:r>
        <w:rPr>
          <w:sz w:val="20"/>
        </w:rPr>
        <w:t>1. Заключение договора → аванс</w:t>
      </w:r>
    </w:p>
    <w:p>
      <w:r>
        <w:rPr>
          <w:sz w:val="20"/>
        </w:rPr>
        <w:t>2. Сбор документов (1–2 нед.)</w:t>
      </w:r>
    </w:p>
    <w:p>
      <w:r>
        <w:rPr>
          <w:sz w:val="20"/>
        </w:rPr>
        <w:t>3. Подача патента (полезная модель)</w:t>
      </w:r>
    </w:p>
    <w:p>
      <w:r>
        <w:rPr>
          <w:sz w:val="20"/>
        </w:rPr>
        <w:t>4. Подача заявки в Сколково</w:t>
      </w:r>
    </w:p>
    <w:p>
      <w:r>
        <w:rPr>
          <w:sz w:val="20"/>
        </w:rPr>
        <w:t>5. Получение статуса участника</w:t>
      </w:r>
    </w:p>
    <w:p>
      <w:r>
        <w:rPr>
          <w:sz w:val="20"/>
        </w:rPr>
        <w:t>6. Оплата success-fee</w:t>
      </w:r>
    </w:p>
    <w:p>
      <w:r>
        <w:rPr>
          <w:sz w:val="20"/>
        </w:rPr>
        <w:t>7. Ежегодная экономия на налогах</w:t>
      </w:r>
    </w:p>
    <w:p>
      <w:r>
        <w:rPr>
          <w:sz w:val="20"/>
        </w:rPr>
      </w:r>
    </w:p>
    <w:p>
      <w:r>
        <w:rPr>
          <w:sz w:val="20"/>
        </w:rPr>
        <w:t>С уважением,</w:t>
      </w:r>
    </w:p>
    <w:p>
      <w:r>
        <w:rPr>
          <w:sz w:val="20"/>
        </w:rPr>
        <w:t>Консалтинговая компания Andromeda Consult</w:t>
      </w:r>
    </w:p>
    <w:p>
      <w:r>
        <w:rPr>
          <w:sz w:val="20"/>
        </w:rP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