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rFonts w:ascii="Times New Roman" w:hAnsi="Times New Roman"/>
          <w:b/>
          <w:sz w:val="22"/>
        </w:rPr>
        <w:t>КОНСАЛТИНГОВАЯ КОМПАНИЯ</w:t>
        <w:br/>
        <w:t>ANDROMEDA CONSULT</w:t>
      </w:r>
    </w:p>
    <w:p>
      <w:pPr>
        <w:jc w:val="right"/>
      </w:pPr>
      <w:r>
        <w:rPr>
          <w:rFonts w:ascii="Times New Roman" w:hAnsi="Times New Roman"/>
          <w:color w:val="667788"/>
          <w:sz w:val="16"/>
        </w:rPr>
        <w:t>ИНН 7702464831  |  ОГРН 1197746181038  |  КПП 770201001</w:t>
        <w:br/>
        <w:t>info@andromedaconsult.ru  |  andromedaconsult.ru  |  @andromedaconsult</w:t>
      </w:r>
    </w:p>
    <w:p>
      <w:r>
        <w:rPr>
          <w:color w:val="CCCCCC"/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Times New Roman" w:hAnsi="Times New Roman"/>
          <w:b/>
          <w:sz w:val="32"/>
        </w:rPr>
        <w:br/>
        <w:t>КОММЕРЧЕСКОЕ ПРЕДЛОЖЕНИЕ</w:t>
      </w:r>
    </w:p>
    <w:p>
      <w:pPr>
        <w:jc w:val="center"/>
      </w:pPr>
      <w:r>
        <w:rPr>
          <w:rFonts w:ascii="Times New Roman" w:hAnsi="Times New Roman"/>
          <w:sz w:val="22"/>
        </w:rPr>
        <w:t>ООО «ЦИТРИН-СЕРВИС» · ИНН 0277110780 · г. Уфа</w:t>
      </w:r>
    </w:p>
    <w:p>
      <w:pPr>
        <w:jc w:val="center"/>
      </w:pPr>
      <w:r>
        <w:rPr>
          <w:rFonts w:ascii="Times New Roman" w:hAnsi="Times New Roman"/>
          <w:sz w:val="18"/>
        </w:rPr>
        <w:t>15 июля 2026 г.</w:t>
      </w:r>
    </w:p>
    <w:p>
      <w:r>
        <w:rPr>
          <w:color w:val="CCCCCC"/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80"/>
      </w:pPr>
      <w:r>
        <w:rPr>
          <w:rFonts w:ascii="Times New Roman" w:hAnsi="Times New Roman"/>
          <w:b w:val="0"/>
          <w:sz w:val="20"/>
        </w:rPr>
        <w:t>Консалтинговая компания «Андромеда консалтинг» предлагает ООО «ЦИТРИН-СЕРВИС» подготовить пакет документов для участия в следующих программах и направлениях:</w:t>
      </w:r>
    </w:p>
    <w:p>
      <w:pPr>
        <w:spacing w:after="80"/>
      </w:pPr>
      <w:r>
        <w:rPr>
          <w:rFonts w:ascii="Times New Roman" w:hAnsi="Times New Roman"/>
          <w:b w:val="0"/>
          <w:sz w:val="20"/>
        </w:rPr>
        <w:t>• получение статуса Участника «Сколково»;</w:t>
      </w:r>
    </w:p>
    <w:p>
      <w:pPr>
        <w:spacing w:after="80"/>
      </w:pPr>
      <w:r>
        <w:rPr>
          <w:rFonts w:ascii="Times New Roman" w:hAnsi="Times New Roman"/>
          <w:b w:val="0"/>
          <w:sz w:val="20"/>
        </w:rPr>
        <w:t>• включение в реестр Малых технологических компаний (МТК);</w:t>
      </w:r>
    </w:p>
    <w:p>
      <w:pPr>
        <w:spacing w:after="80"/>
      </w:pPr>
      <w:r>
        <w:rPr>
          <w:rFonts w:ascii="Times New Roman" w:hAnsi="Times New Roman"/>
          <w:b w:val="0"/>
          <w:sz w:val="20"/>
        </w:rPr>
        <w:t>• получение в приоритетном порядке патента на полезную модель.</w:t>
      </w:r>
    </w:p>
    <w:p>
      <w:r>
        <w:rPr>
          <w:rFonts w:ascii="Times New Roman" w:hAnsi="Times New Roman"/>
          <w:b/>
          <w:sz w:val="24"/>
        </w:rPr>
        <w:br/>
        <w:t>1. СТАТУС УЧАСТНИКА «СКОЛКОВО»</w:t>
      </w:r>
    </w:p>
    <w:p>
      <w:r>
        <w:rPr>
          <w:color w:val="CCCCCC"/>
          <w:sz w:val="12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80"/>
      </w:pPr>
      <w:r>
        <w:rPr>
          <w:rFonts w:ascii="Times New Roman" w:hAnsi="Times New Roman"/>
          <w:b w:val="0"/>
          <w:sz w:val="20"/>
        </w:rPr>
        <w:t>Для выявления возможности получения Вашей компанией налоговых преференций мы предлагаем провести анализ деятельности и подготовить заявку на получение статуса Участника Сколково. Резиденты ОЭЗ «Сколково» получают на 10 лет следующие налоговые льготы и поддержку:</w:t>
      </w:r>
    </w:p>
    <w:p>
      <w:pPr>
        <w:spacing w:after="80"/>
      </w:pPr>
      <w:r>
        <w:rPr>
          <w:rFonts w:ascii="Times New Roman" w:hAnsi="Times New Roman"/>
          <w:b w:val="0"/>
          <w:sz w:val="20"/>
        </w:rPr>
        <w:t>• Льгота по налогу на прибыль — 0%</w:t>
      </w:r>
    </w:p>
    <w:p>
      <w:pPr>
        <w:spacing w:after="80"/>
      </w:pPr>
      <w:r>
        <w:rPr>
          <w:rFonts w:ascii="Times New Roman" w:hAnsi="Times New Roman"/>
          <w:b w:val="0"/>
          <w:sz w:val="20"/>
        </w:rPr>
        <w:t>• Пониженные страховые взносы — 15%</w:t>
      </w:r>
    </w:p>
    <w:p>
      <w:pPr>
        <w:spacing w:after="80"/>
      </w:pPr>
      <w:r>
        <w:rPr>
          <w:rFonts w:ascii="Times New Roman" w:hAnsi="Times New Roman"/>
          <w:b w:val="0"/>
          <w:sz w:val="20"/>
        </w:rPr>
        <w:t>• Льгота на налог на имущество — 0%</w:t>
      </w:r>
    </w:p>
    <w:p>
      <w:pPr>
        <w:spacing w:after="80"/>
      </w:pPr>
      <w:r>
        <w:rPr>
          <w:rFonts w:ascii="Times New Roman" w:hAnsi="Times New Roman"/>
          <w:b w:val="0"/>
          <w:sz w:val="20"/>
        </w:rPr>
        <w:t>• Льготы по уплате таможенных платежей</w:t>
      </w:r>
    </w:p>
    <w:p>
      <w:pPr>
        <w:spacing w:after="80"/>
      </w:pPr>
      <w:r>
        <w:rPr>
          <w:rFonts w:ascii="Times New Roman" w:hAnsi="Times New Roman"/>
          <w:b w:val="0"/>
          <w:sz w:val="20"/>
        </w:rPr>
        <w:t>• Визово-миграционные льготы</w:t>
      </w:r>
    </w:p>
    <w:p>
      <w:pPr>
        <w:spacing w:after="80"/>
      </w:pPr>
      <w:r>
        <w:rPr>
          <w:rFonts w:ascii="Times New Roman" w:hAnsi="Times New Roman"/>
          <w:b w:val="0"/>
          <w:sz w:val="20"/>
        </w:rPr>
        <w:t>• Финансовая поддержка: гранты от 1,5 до 50 млн ₽</w:t>
      </w:r>
    </w:p>
    <w:p>
      <w:r>
        <w:rPr>
          <w:rFonts w:ascii="Times New Roman" w:hAnsi="Times New Roman"/>
          <w:b/>
          <w:sz w:val="24"/>
        </w:rPr>
        <w:br/>
        <w:t>2. РЕЕСТР МАЛЫХ ТЕХНОЛОГИЧЕСКИХ КОМПАНИЙ (МТК)</w:t>
      </w:r>
    </w:p>
    <w:p>
      <w:r>
        <w:rPr>
          <w:color w:val="CCCCCC"/>
          <w:sz w:val="12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80"/>
      </w:pPr>
      <w:r>
        <w:rPr>
          <w:rFonts w:ascii="Times New Roman" w:hAnsi="Times New Roman"/>
          <w:b w:val="0"/>
          <w:sz w:val="20"/>
        </w:rPr>
        <w:t>Вхождение в реестр МТК открывает доступ к следующим мерам господдержки:</w:t>
      </w:r>
    </w:p>
    <w:p>
      <w:pPr>
        <w:spacing w:after="80"/>
      </w:pPr>
      <w:r>
        <w:rPr>
          <w:rFonts w:ascii="Times New Roman" w:hAnsi="Times New Roman"/>
          <w:b w:val="0"/>
          <w:sz w:val="20"/>
        </w:rPr>
        <w:t>• дополнительные баллы при участии в грантовых конкурсах;</w:t>
      </w:r>
    </w:p>
    <w:p>
      <w:pPr>
        <w:spacing w:after="80"/>
      </w:pPr>
      <w:r>
        <w:rPr>
          <w:rFonts w:ascii="Times New Roman" w:hAnsi="Times New Roman"/>
          <w:b w:val="0"/>
          <w:sz w:val="20"/>
        </w:rPr>
        <w:t>• льготный займ от Корпорации МСП до 2 млрд ₽;</w:t>
      </w:r>
    </w:p>
    <w:p>
      <w:pPr>
        <w:spacing w:after="80"/>
      </w:pPr>
      <w:r>
        <w:rPr>
          <w:rFonts w:ascii="Times New Roman" w:hAnsi="Times New Roman"/>
          <w:b w:val="0"/>
          <w:sz w:val="20"/>
        </w:rPr>
        <w:t>• упрощённая процедура защиты интеллектуальной собственности;</w:t>
      </w:r>
    </w:p>
    <w:p>
      <w:pPr>
        <w:spacing w:after="80"/>
      </w:pPr>
      <w:r>
        <w:rPr>
          <w:rFonts w:ascii="Times New Roman" w:hAnsi="Times New Roman"/>
          <w:b w:val="0"/>
          <w:sz w:val="20"/>
        </w:rPr>
        <w:t>• сниженная ставка по промышленной ипотеке;</w:t>
      </w:r>
    </w:p>
    <w:p>
      <w:pPr>
        <w:spacing w:after="80"/>
      </w:pPr>
      <w:r>
        <w:rPr>
          <w:rFonts w:ascii="Times New Roman" w:hAnsi="Times New Roman"/>
          <w:b w:val="0"/>
          <w:sz w:val="20"/>
        </w:rPr>
        <w:t>• пониженная ставка налога на прибыль (зависит от региона);</w:t>
      </w:r>
    </w:p>
    <w:p>
      <w:pPr>
        <w:spacing w:after="80"/>
      </w:pPr>
      <w:r>
        <w:rPr>
          <w:rFonts w:ascii="Times New Roman" w:hAnsi="Times New Roman"/>
          <w:b w:val="0"/>
          <w:sz w:val="20"/>
        </w:rPr>
        <w:t>• размещение на «Витрине стартапов» Минэкономразвития РФ;</w:t>
      </w:r>
    </w:p>
    <w:p>
      <w:pPr>
        <w:spacing w:after="80"/>
      </w:pPr>
      <w:r>
        <w:rPr>
          <w:rFonts w:ascii="Times New Roman" w:hAnsi="Times New Roman"/>
          <w:b w:val="0"/>
          <w:sz w:val="20"/>
        </w:rPr>
        <w:t>• поддержка спроса на инновационную продукцию и экспорт.</w:t>
      </w:r>
    </w:p>
    <w:p>
      <w:pPr>
        <w:spacing w:after="80"/>
      </w:pPr>
      <w:r>
        <w:rPr>
          <w:rFonts w:ascii="Times New Roman" w:hAnsi="Times New Roman"/>
          <w:b w:val="0"/>
          <w:sz w:val="20"/>
        </w:rPr>
        <w:t>Данный список мер господдержки ежегодно дополняется, что расширяет возможности развития и конкуренции компаний, состоящих в реестре МТК.</w:t>
      </w:r>
    </w:p>
    <w:p>
      <w:r>
        <w:rPr>
          <w:rFonts w:ascii="Times New Roman" w:hAnsi="Times New Roman"/>
          <w:b/>
          <w:sz w:val="24"/>
        </w:rPr>
        <w:br/>
        <w:t>3. ПРЕДВАРИТЕЛЬНЫЙ АНАЛИЗ КОМПАНИИ</w:t>
      </w:r>
    </w:p>
    <w:p>
      <w:r>
        <w:rPr>
          <w:color w:val="CCCCCC"/>
          <w:sz w:val="12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80"/>
      </w:pPr>
      <w:r>
        <w:rPr>
          <w:rFonts w:ascii="Times New Roman" w:hAnsi="Times New Roman"/>
          <w:b w:val="0"/>
          <w:sz w:val="20"/>
        </w:rPr>
        <w:t>На основе открытых источников нами проведён предварительный анализ ООО «ЦИТРИН-СЕРВИС». Ниже приведены основные данные, которые будут использованы при подготовке заявки.</w:t>
      </w:r>
    </w:p>
    <w:p>
      <w:pPr>
        <w:spacing w:after="80"/>
      </w:pPr>
      <w:r>
        <w:rPr>
          <w:rFonts w:ascii="Times New Roman" w:hAnsi="Times New Roman"/>
          <w:b w:val="0"/>
          <w:sz w:val="20"/>
        </w:rPr>
        <w:t>Руководитель: Данилов Михаил Евгеньевич</w:t>
      </w:r>
    </w:p>
    <w:p>
      <w:pPr>
        <w:spacing w:after="80"/>
      </w:pPr>
      <w:r>
        <w:rPr>
          <w:rFonts w:ascii="Times New Roman" w:hAnsi="Times New Roman"/>
          <w:b w:val="0"/>
          <w:sz w:val="20"/>
        </w:rPr>
        <w:t>ОКВЭД: 28.92 — Производство машин для добычи полезных ископаемых</w:t>
      </w:r>
    </w:p>
    <w:p>
      <w:pPr>
        <w:spacing w:after="80"/>
      </w:pPr>
      <w:r>
        <w:rPr>
          <w:rFonts w:ascii="Times New Roman" w:hAnsi="Times New Roman"/>
          <w:b w:val="0"/>
          <w:sz w:val="20"/>
        </w:rPr>
        <w:t>Выручка 2025: 144,6 млн ₽</w:t>
      </w:r>
    </w:p>
    <w:p>
      <w:pPr>
        <w:spacing w:after="80"/>
      </w:pPr>
      <w:r>
        <w:rPr>
          <w:rFonts w:ascii="Times New Roman" w:hAnsi="Times New Roman"/>
          <w:b w:val="0"/>
          <w:sz w:val="20"/>
        </w:rPr>
        <w:t>Прибыль 2025: 3,3 млн ₽</w:t>
      </w:r>
    </w:p>
    <w:p>
      <w:pPr>
        <w:spacing w:after="80"/>
      </w:pPr>
      <w:r>
        <w:rPr>
          <w:rFonts w:ascii="Times New Roman" w:hAnsi="Times New Roman"/>
          <w:b w:val="0"/>
          <w:sz w:val="20"/>
        </w:rPr>
        <w:t>Сотрудники: 15</w:t>
      </w:r>
    </w:p>
    <w:p>
      <w:pPr>
        <w:spacing w:after="80"/>
      </w:pPr>
      <w:r>
        <w:rPr>
          <w:rFonts w:ascii="Times New Roman" w:hAnsi="Times New Roman"/>
          <w:b w:val="0"/>
          <w:sz w:val="20"/>
        </w:rPr>
        <w:t>Налоговый режим: ОСН</w:t>
      </w:r>
    </w:p>
    <w:p>
      <w:pPr>
        <w:spacing w:after="80"/>
      </w:pPr>
      <w:r>
        <w:rPr>
          <w:rFonts w:ascii="Times New Roman" w:hAnsi="Times New Roman"/>
          <w:b w:val="0"/>
          <w:sz w:val="8"/>
        </w:rPr>
      </w:r>
    </w:p>
    <w:p>
      <w:pPr>
        <w:spacing w:after="80"/>
      </w:pPr>
      <w:r>
        <w:rPr>
          <w:rFonts w:ascii="Times New Roman" w:hAnsi="Times New Roman"/>
          <w:b/>
          <w:sz w:val="20"/>
        </w:rPr>
        <w:t>Прогноз налоговой экономии при статусе резидента Сколково:</w:t>
      </w:r>
    </w:p>
    <w:p>
      <w:pPr>
        <w:spacing w:after="80"/>
      </w:pPr>
      <w:r>
        <w:rPr>
          <w:rFonts w:ascii="Times New Roman" w:hAnsi="Times New Roman"/>
          <w:b w:val="0"/>
          <w:sz w:val="20"/>
        </w:rPr>
        <w:t>• За 2024–2025: ~2,5 млн ₽</w:t>
        <w:br/>
        <w:t>• Прогноз на 10 лет: ~10 млн ₽</w:t>
        <w:br/>
        <w:t>• Среднегодовая: ~1,0 млн ₽</w:t>
        <w:br/>
        <w:t>• Каждый год промедления = ~1,0 млн ₽ упущенной экономии.</w:t>
      </w:r>
    </w:p>
    <w:p>
      <w:r>
        <w:rPr>
          <w:rFonts w:ascii="Times New Roman" w:hAnsi="Times New Roman"/>
          <w:b/>
          <w:sz w:val="24"/>
        </w:rPr>
        <w:br/>
        <w:t>4. ПОРЯДОК РАБОТЫ (ДОРОЖНАЯ КАРТА)</w:t>
      </w:r>
    </w:p>
    <w:p>
      <w:r>
        <w:rPr>
          <w:color w:val="CCCCCC"/>
          <w:sz w:val="12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80"/>
      </w:pPr>
      <w:r>
        <w:rPr>
          <w:rFonts w:ascii="Times New Roman" w:hAnsi="Times New Roman"/>
          <w:b/>
          <w:sz w:val="20"/>
        </w:rPr>
        <w:t>Необходимые люди и материалы со стороны ООО «ЦИТРИН-СЕРВИС»:</w:t>
      </w:r>
    </w:p>
    <w:p>
      <w:pPr>
        <w:spacing w:after="80"/>
      </w:pPr>
      <w:r>
        <w:rPr>
          <w:rFonts w:ascii="Times New Roman" w:hAnsi="Times New Roman"/>
          <w:b w:val="0"/>
          <w:sz w:val="20"/>
        </w:rPr>
        <w:t>• Руководитель компании (Данилов Михаил Евгеньевич), главный бухгалтер, главный технолог — рабочая группа.</w:t>
      </w:r>
    </w:p>
    <w:p>
      <w:pPr>
        <w:spacing w:after="80"/>
      </w:pPr>
      <w:r>
        <w:rPr>
          <w:rFonts w:ascii="Times New Roman" w:hAnsi="Times New Roman"/>
          <w:b w:val="0"/>
          <w:sz w:val="20"/>
        </w:rPr>
        <w:t>• Информация о продукции: описание, технические характеристики, чертежи.</w:t>
      </w:r>
    </w:p>
    <w:p>
      <w:pPr>
        <w:spacing w:after="80"/>
      </w:pPr>
      <w:r>
        <w:rPr>
          <w:rFonts w:ascii="Times New Roman" w:hAnsi="Times New Roman"/>
          <w:b w:val="0"/>
          <w:sz w:val="20"/>
        </w:rPr>
        <w:t>• Описание технологии производства.</w:t>
      </w:r>
    </w:p>
    <w:p>
      <w:pPr>
        <w:spacing w:after="80"/>
      </w:pPr>
      <w:r>
        <w:rPr>
          <w:rFonts w:ascii="Times New Roman" w:hAnsi="Times New Roman"/>
          <w:b w:val="0"/>
          <w:sz w:val="20"/>
        </w:rPr>
        <w:t>• Фото производства, оборудования, готовой продукции.</w:t>
      </w:r>
    </w:p>
    <w:p>
      <w:pPr>
        <w:spacing w:after="80"/>
      </w:pPr>
      <w:r>
        <w:rPr>
          <w:rFonts w:ascii="Times New Roman" w:hAnsi="Times New Roman"/>
          <w:b w:val="0"/>
          <w:sz w:val="20"/>
        </w:rPr>
        <w:t>• 4–5 человек команды проекта: дипломы (техническое образование).</w:t>
      </w:r>
    </w:p>
    <w:p>
      <w:pPr>
        <w:spacing w:after="80"/>
      </w:pPr>
      <w:r>
        <w:rPr>
          <w:rFonts w:ascii="Times New Roman" w:hAnsi="Times New Roman"/>
          <w:b w:val="0"/>
          <w:sz w:val="20"/>
        </w:rPr>
        <w:t>• Базовые цифры для экономической модели: себестоимость, покупатели, поставщики.</w:t>
      </w:r>
    </w:p>
    <w:p>
      <w:pPr>
        <w:spacing w:after="80"/>
      </w:pPr>
      <w:r>
        <w:rPr>
          <w:rFonts w:ascii="Times New Roman" w:hAnsi="Times New Roman"/>
          <w:b w:val="0"/>
          <w:sz w:val="20"/>
        </w:rPr>
        <w:t>• Патенты (при наличии) или описание применяемых технологий.</w:t>
      </w:r>
    </w:p>
    <w:p>
      <w:pPr>
        <w:spacing w:after="80"/>
      </w:pPr>
      <w:r>
        <w:rPr>
          <w:rFonts w:ascii="Times New Roman" w:hAnsi="Times New Roman"/>
          <w:b w:val="0"/>
          <w:sz w:val="8"/>
        </w:rPr>
      </w:r>
    </w:p>
    <w:p>
      <w:pPr>
        <w:spacing w:after="80"/>
      </w:pPr>
      <w:r>
        <w:rPr>
          <w:rFonts w:ascii="Times New Roman" w:hAnsi="Times New Roman"/>
          <w:b/>
          <w:sz w:val="20"/>
        </w:rPr>
        <w:t>Последовательность работ:</w:t>
      </w:r>
    </w:p>
    <w:p>
      <w:pPr>
        <w:spacing w:after="80"/>
      </w:pPr>
      <w:r>
        <w:rPr>
          <w:rFonts w:ascii="Times New Roman" w:hAnsi="Times New Roman"/>
          <w:b w:val="0"/>
          <w:sz w:val="20"/>
        </w:rPr>
        <w:t>1. Согласование тематики заявки и предмета инновации — Устно с руководителем</w:t>
      </w:r>
    </w:p>
    <w:p>
      <w:pPr>
        <w:spacing w:after="80"/>
      </w:pPr>
      <w:r>
        <w:rPr>
          <w:rFonts w:ascii="Times New Roman" w:hAnsi="Times New Roman"/>
          <w:b w:val="0"/>
          <w:sz w:val="20"/>
        </w:rPr>
        <w:t>2. Согласование и подписание договора</w:t>
      </w:r>
    </w:p>
    <w:p>
      <w:pPr>
        <w:spacing w:after="80"/>
      </w:pPr>
      <w:r>
        <w:rPr>
          <w:rFonts w:ascii="Times New Roman" w:hAnsi="Times New Roman"/>
          <w:b w:val="0"/>
          <w:sz w:val="20"/>
        </w:rPr>
        <w:t>3. Авансовый платёж (250 000 ₽)</w:t>
      </w:r>
    </w:p>
    <w:p>
      <w:pPr>
        <w:spacing w:after="80"/>
      </w:pPr>
      <w:r>
        <w:rPr>
          <w:rFonts w:ascii="Times New Roman" w:hAnsi="Times New Roman"/>
          <w:b w:val="0"/>
          <w:sz w:val="20"/>
        </w:rPr>
        <w:t>4. Формирование рабочей группы в Telegram/МАКС — Назначается главный аналитик</w:t>
      </w:r>
    </w:p>
    <w:p>
      <w:pPr>
        <w:spacing w:after="80"/>
      </w:pPr>
      <w:r>
        <w:rPr>
          <w:rFonts w:ascii="Times New Roman" w:hAnsi="Times New Roman"/>
          <w:b w:val="0"/>
          <w:sz w:val="20"/>
        </w:rPr>
        <w:t>5. Сбор базовых документов + заявка на патент — 2–3 недели</w:t>
      </w:r>
    </w:p>
    <w:p>
      <w:pPr>
        <w:spacing w:after="80"/>
      </w:pPr>
      <w:r>
        <w:rPr>
          <w:rFonts w:ascii="Times New Roman" w:hAnsi="Times New Roman"/>
          <w:b w:val="0"/>
          <w:sz w:val="20"/>
        </w:rPr>
        <w:t>6. Формирование и согласование заявки в Сколково — 3–4 дня на проверку</w:t>
      </w:r>
    </w:p>
    <w:p>
      <w:pPr>
        <w:spacing w:after="80"/>
      </w:pPr>
      <w:r>
        <w:rPr>
          <w:rFonts w:ascii="Times New Roman" w:hAnsi="Times New Roman"/>
          <w:b w:val="0"/>
          <w:sz w:val="20"/>
        </w:rPr>
        <w:t>7. Подача заявки (экстерриториальный резидент)</w:t>
      </w:r>
    </w:p>
    <w:p>
      <w:pPr>
        <w:spacing w:after="80"/>
      </w:pPr>
      <w:r>
        <w:rPr>
          <w:rFonts w:ascii="Times New Roman" w:hAnsi="Times New Roman"/>
          <w:b w:val="0"/>
          <w:sz w:val="20"/>
        </w:rPr>
        <w:t>8. Ожидание результатов экспертизы — 1–2 месяца</w:t>
      </w:r>
    </w:p>
    <w:p>
      <w:pPr>
        <w:spacing w:after="80"/>
      </w:pPr>
      <w:r>
        <w:rPr>
          <w:rFonts w:ascii="Times New Roman" w:hAnsi="Times New Roman"/>
          <w:b w:val="0"/>
          <w:sz w:val="20"/>
        </w:rPr>
        <w:t>9. При отказе — доработка и переподача — 7–9 дней + ~1 месяц</w:t>
      </w:r>
    </w:p>
    <w:p>
      <w:pPr>
        <w:spacing w:after="80"/>
      </w:pPr>
      <w:r>
        <w:rPr>
          <w:rFonts w:ascii="Times New Roman" w:hAnsi="Times New Roman"/>
          <w:b w:val="0"/>
          <w:sz w:val="20"/>
        </w:rPr>
        <w:t>10. Получение статуса резидента — Формальное письмо, 7–10 дней</w:t>
      </w:r>
    </w:p>
    <w:p>
      <w:pPr>
        <w:spacing w:after="80"/>
      </w:pPr>
      <w:r>
        <w:rPr>
          <w:rFonts w:ascii="Times New Roman" w:hAnsi="Times New Roman"/>
          <w:b w:val="0"/>
          <w:sz w:val="20"/>
        </w:rPr>
        <w:t>11. Подача заявки на МТК — 10–15 дней после Сколково</w:t>
      </w:r>
    </w:p>
    <w:p>
      <w:pPr>
        <w:spacing w:after="80"/>
      </w:pPr>
      <w:r>
        <w:rPr>
          <w:rFonts w:ascii="Times New Roman" w:hAnsi="Times New Roman"/>
          <w:b w:val="0"/>
          <w:sz w:val="8"/>
        </w:rPr>
      </w:r>
    </w:p>
    <w:p>
      <w:pPr>
        <w:spacing w:after="80"/>
      </w:pPr>
      <w:r>
        <w:rPr>
          <w:rFonts w:ascii="Times New Roman" w:hAnsi="Times New Roman"/>
          <w:b w:val="0"/>
          <w:sz w:val="20"/>
        </w:rPr>
        <w:t>После получения статуса — опционально: договор на ведение отчётности (4 квартальных + 1 годовой отчёт).</w:t>
      </w:r>
    </w:p>
    <w:p>
      <w:r>
        <w:rPr>
          <w:rFonts w:ascii="Times New Roman" w:hAnsi="Times New Roman"/>
          <w:b/>
          <w:sz w:val="24"/>
        </w:rPr>
        <w:br/>
        <w:t>5. СТОИМОСТЬ УСЛУГ</w:t>
      </w:r>
    </w:p>
    <w:p>
      <w:r>
        <w:rPr>
          <w:color w:val="CCCCCC"/>
          <w:sz w:val="12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80"/>
      </w:pPr>
      <w:r>
        <w:rPr>
          <w:rFonts w:ascii="Times New Roman" w:hAnsi="Times New Roman"/>
          <w:b w:val="0"/>
          <w:sz w:val="20"/>
        </w:rPr>
        <w:t>Мы предлагаем Вам комплексный пакет (Сколково + МТК + патент) на следующих условиях: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1a1a2e"/>
          </w:tcPr>
          <w:p>
            <w:r>
              <w:rPr>
                <w:b/>
                <w:color w:val="FFFFFF"/>
              </w:rPr>
              <w:t>Услуга</w:t>
            </w:r>
          </w:p>
        </w:tc>
        <w:tc>
          <w:tcPr>
            <w:tcW w:type="dxa" w:w="4320"/>
            <w:shd w:val="clear" w:color="auto" w:fill="1a1a2e"/>
          </w:tcPr>
          <w:p>
            <w:r>
              <w:rPr>
                <w:b/>
                <w:color w:val="FFFFFF"/>
              </w:rPr>
              <w:t>Стоимость, ₽</w:t>
            </w:r>
          </w:p>
        </w:tc>
      </w:tr>
      <w:tr>
        <w:tc>
          <w:tcPr>
            <w:tcW w:type="dxa" w:w="4320"/>
          </w:tcPr>
          <w:p>
            <w:r>
              <w:t>Формирование пакета документов (аванс)</w:t>
            </w:r>
          </w:p>
        </w:tc>
        <w:tc>
          <w:tcPr>
            <w:tcW w:type="dxa" w:w="4320"/>
          </w:tcPr>
          <w:p>
            <w:r>
              <w:t>250 000</w:t>
            </w:r>
          </w:p>
        </w:tc>
      </w:tr>
      <w:tr>
        <w:tc>
          <w:tcPr>
            <w:tcW w:type="dxa" w:w="4320"/>
          </w:tcPr>
          <w:p>
            <w:r>
              <w:t>Вознаграждение за статус Сколково</w:t>
            </w:r>
          </w:p>
        </w:tc>
        <w:tc>
          <w:tcPr>
            <w:tcW w:type="dxa" w:w="4320"/>
          </w:tcPr>
          <w:p>
            <w:r>
              <w:t>500 000</w:t>
            </w:r>
          </w:p>
        </w:tc>
      </w:tr>
      <w:tr>
        <w:tc>
          <w:tcPr>
            <w:tcW w:type="dxa" w:w="4320"/>
          </w:tcPr>
          <w:p>
            <w:r>
              <w:t>Вознаграждение за включение в реестр МТК</w:t>
            </w:r>
          </w:p>
        </w:tc>
        <w:tc>
          <w:tcPr>
            <w:tcW w:type="dxa" w:w="4320"/>
          </w:tcPr>
          <w:p>
            <w:r>
              <w:t>150 000</w:t>
            </w:r>
          </w:p>
        </w:tc>
      </w:tr>
      <w:tr>
        <w:tc>
          <w:tcPr>
            <w:tcW w:type="dxa" w:w="4320"/>
          </w:tcPr>
          <w:p>
            <w:r>
              <w:t>Патент на полезную модель (дополнительно)</w:t>
            </w:r>
          </w:p>
        </w:tc>
        <w:tc>
          <w:tcPr>
            <w:tcW w:type="dxa" w:w="4320"/>
          </w:tcPr>
          <w:p>
            <w:r>
              <w:t>80 000</w:t>
            </w:r>
          </w:p>
        </w:tc>
      </w:tr>
      <w:tr>
        <w:tc>
          <w:tcPr>
            <w:tcW w:type="dxa" w:w="4320"/>
          </w:tcPr>
          <w:p>
            <w:r>
              <w:t>ИТОГО (max)</w:t>
            </w:r>
          </w:p>
        </w:tc>
        <w:tc>
          <w:tcPr>
            <w:tcW w:type="dxa" w:w="4320"/>
          </w:tcPr>
          <w:p>
            <w:r>
              <w:t>980 000</w:t>
            </w:r>
          </w:p>
        </w:tc>
      </w:tr>
    </w:tbl>
    <w:p>
      <w:pPr>
        <w:spacing w:after="80"/>
      </w:pPr>
      <w:r>
        <w:rPr>
          <w:rFonts w:ascii="Times New Roman" w:hAnsi="Times New Roman"/>
          <w:b w:val="0"/>
          <w:sz w:val="8"/>
        </w:rPr>
      </w:r>
    </w:p>
    <w:p>
      <w:pPr>
        <w:spacing w:after="80"/>
      </w:pPr>
      <w:r>
        <w:rPr>
          <w:rFonts w:ascii="Times New Roman" w:hAnsi="Times New Roman"/>
          <w:b/>
          <w:sz w:val="20"/>
        </w:rPr>
        <w:t>Условия:</w:t>
      </w:r>
    </w:p>
    <w:p>
      <w:pPr>
        <w:spacing w:after="80"/>
      </w:pPr>
      <w:r>
        <w:rPr>
          <w:rFonts w:ascii="Times New Roman" w:hAnsi="Times New Roman"/>
          <w:b w:val="0"/>
          <w:sz w:val="20"/>
        </w:rPr>
        <w:t>• Договор на 3 подачи.</w:t>
      </w:r>
    </w:p>
    <w:p>
      <w:pPr>
        <w:spacing w:after="80"/>
      </w:pPr>
      <w:r>
        <w:rPr>
          <w:rFonts w:ascii="Times New Roman" w:hAnsi="Times New Roman"/>
          <w:b w:val="0"/>
          <w:sz w:val="20"/>
        </w:rPr>
        <w:t>• Аванс — до начала работ.</w:t>
      </w:r>
    </w:p>
    <w:p>
      <w:pPr>
        <w:spacing w:after="80"/>
      </w:pPr>
      <w:r>
        <w:rPr>
          <w:rFonts w:ascii="Times New Roman" w:hAnsi="Times New Roman"/>
          <w:b w:val="0"/>
          <w:sz w:val="20"/>
        </w:rPr>
        <w:t>• Вознаграждение — после получения протокола / включения в реестр МТК.</w:t>
      </w:r>
    </w:p>
    <w:p>
      <w:pPr>
        <w:spacing w:after="80"/>
      </w:pPr>
      <w:r>
        <w:rPr>
          <w:rFonts w:ascii="Times New Roman" w:hAnsi="Times New Roman"/>
          <w:b w:val="0"/>
          <w:sz w:val="20"/>
        </w:rPr>
        <w:t>• НДС не облагается (УСН).</w:t>
      </w:r>
    </w:p>
    <w:p>
      <w:r>
        <w:rPr>
          <w:rFonts w:ascii="Times New Roman" w:hAnsi="Times New Roman"/>
          <w:b/>
          <w:sz w:val="24"/>
        </w:rPr>
        <w:br/>
        <w:t>6. ЧТО ПОЛУЧАЕТ КОМПАНИЯ</w:t>
      </w:r>
    </w:p>
    <w:p>
      <w:r>
        <w:rPr>
          <w:color w:val="CCCCCC"/>
          <w:sz w:val="12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80"/>
      </w:pPr>
      <w:r>
        <w:rPr>
          <w:rFonts w:ascii="Times New Roman" w:hAnsi="Times New Roman"/>
          <w:b/>
          <w:sz w:val="20"/>
        </w:rPr>
        <w:t>БЛОК I — Гарантированные льготы (без конкурсов):</w:t>
      </w:r>
    </w:p>
    <w:p>
      <w:pPr>
        <w:spacing w:after="80"/>
      </w:pPr>
      <w:r>
        <w:rPr>
          <w:rFonts w:ascii="Times New Roman" w:hAnsi="Times New Roman"/>
          <w:b w:val="0"/>
          <w:sz w:val="20"/>
        </w:rPr>
        <w:t>• Налог на прибыль — 0% (на 10 лет)</w:t>
      </w:r>
    </w:p>
    <w:p>
      <w:pPr>
        <w:spacing w:after="80"/>
      </w:pPr>
      <w:r>
        <w:rPr>
          <w:rFonts w:ascii="Times New Roman" w:hAnsi="Times New Roman"/>
          <w:b w:val="0"/>
          <w:sz w:val="20"/>
        </w:rPr>
        <w:t>• Налог на имущество — 0% (на 10 лет)</w:t>
      </w:r>
    </w:p>
    <w:p>
      <w:pPr>
        <w:spacing w:after="80"/>
      </w:pPr>
      <w:r>
        <w:rPr>
          <w:rFonts w:ascii="Times New Roman" w:hAnsi="Times New Roman"/>
          <w:b w:val="0"/>
          <w:sz w:val="20"/>
        </w:rPr>
        <w:t>• Страховые взносы — 15% (на з/п свыше 1,5×МРОТ)</w:t>
      </w:r>
    </w:p>
    <w:p>
      <w:pPr>
        <w:spacing w:after="80"/>
      </w:pPr>
      <w:r>
        <w:rPr>
          <w:rFonts w:ascii="Times New Roman" w:hAnsi="Times New Roman"/>
          <w:b w:val="0"/>
          <w:sz w:val="8"/>
        </w:rPr>
      </w:r>
    </w:p>
    <w:p>
      <w:pPr>
        <w:spacing w:after="80"/>
      </w:pPr>
      <w:r>
        <w:rPr>
          <w:rFonts w:ascii="Times New Roman" w:hAnsi="Times New Roman"/>
          <w:b/>
          <w:sz w:val="20"/>
        </w:rPr>
        <w:t>БЛОК II — Через конкурсы (гранты):</w:t>
      </w:r>
    </w:p>
    <w:p>
      <w:pPr>
        <w:spacing w:after="80"/>
      </w:pPr>
      <w:r>
        <w:rPr>
          <w:rFonts w:ascii="Times New Roman" w:hAnsi="Times New Roman"/>
          <w:b w:val="0"/>
          <w:sz w:val="20"/>
        </w:rPr>
        <w:t>• Гранты Сколково от 1,5 до 50 млн ₽</w:t>
      </w:r>
    </w:p>
    <w:p>
      <w:pPr>
        <w:spacing w:after="80"/>
      </w:pPr>
      <w:r>
        <w:rPr>
          <w:rFonts w:ascii="Times New Roman" w:hAnsi="Times New Roman"/>
          <w:b w:val="0"/>
          <w:sz w:val="20"/>
        </w:rPr>
        <w:t>• Дополнительные баллы в грантах ФСИ</w:t>
      </w:r>
    </w:p>
    <w:p>
      <w:pPr>
        <w:spacing w:after="80"/>
      </w:pPr>
      <w:r>
        <w:rPr>
          <w:rFonts w:ascii="Times New Roman" w:hAnsi="Times New Roman"/>
          <w:b w:val="0"/>
          <w:sz w:val="20"/>
        </w:rPr>
        <w:t>• Ускоренная процедура МТК</w:t>
      </w:r>
    </w:p>
    <w:p>
      <w:pPr>
        <w:spacing w:after="80"/>
      </w:pPr>
      <w:r>
        <w:rPr>
          <w:rFonts w:ascii="Times New Roman" w:hAnsi="Times New Roman"/>
          <w:b w:val="0"/>
          <w:sz w:val="8"/>
        </w:rPr>
      </w:r>
    </w:p>
    <w:p>
      <w:pPr>
        <w:spacing w:after="80"/>
      </w:pPr>
      <w:r>
        <w:rPr>
          <w:rFonts w:ascii="Times New Roman" w:hAnsi="Times New Roman"/>
          <w:b/>
          <w:sz w:val="20"/>
        </w:rPr>
        <w:t>БЛОК III — Бонусы МТК:</w:t>
      </w:r>
    </w:p>
    <w:p>
      <w:pPr>
        <w:spacing w:after="80"/>
      </w:pPr>
      <w:r>
        <w:rPr>
          <w:rFonts w:ascii="Times New Roman" w:hAnsi="Times New Roman"/>
          <w:b w:val="0"/>
          <w:sz w:val="20"/>
        </w:rPr>
        <w:t>• Кредиты от 3% до 12% годовых</w:t>
      </w:r>
    </w:p>
    <w:p>
      <w:pPr>
        <w:spacing w:after="80"/>
      </w:pPr>
      <w:r>
        <w:rPr>
          <w:rFonts w:ascii="Times New Roman" w:hAnsi="Times New Roman"/>
          <w:b w:val="0"/>
          <w:sz w:val="20"/>
        </w:rPr>
        <w:t>• Преимущества в торгах по 223-ФЗ и 44-ФЗ</w:t>
      </w:r>
    </w:p>
    <w:p>
      <w:pPr>
        <w:spacing w:after="80"/>
      </w:pPr>
      <w:r>
        <w:rPr>
          <w:rFonts w:ascii="Times New Roman" w:hAnsi="Times New Roman"/>
          <w:b w:val="0"/>
          <w:sz w:val="20"/>
        </w:rPr>
        <w:t>• Размещение на «Витрине стартапов»</w:t>
      </w:r>
    </w:p>
    <w:p>
      <w:pPr>
        <w:spacing w:after="80"/>
      </w:pPr>
      <w:r>
        <w:rPr>
          <w:rFonts w:ascii="Times New Roman" w:hAnsi="Times New Roman"/>
          <w:b w:val="0"/>
          <w:sz w:val="8"/>
        </w:rPr>
      </w:r>
    </w:p>
    <w:p>
      <w:pPr>
        <w:spacing w:after="80"/>
      </w:pPr>
      <w:r>
        <w:rPr>
          <w:rFonts w:ascii="Times New Roman" w:hAnsi="Times New Roman"/>
          <w:b w:val="0"/>
          <w:sz w:val="20"/>
        </w:rPr>
        <w:t>Будем рады ответить на Ваши вопросы по телефону +7 916 770-25-55 или info@andromedaconsult.ru. Благодарим за внимание!</w:t>
      </w:r>
    </w:p>
    <w:p>
      <w:pPr>
        <w:spacing w:after="80"/>
      </w:pPr>
      <w:r>
        <w:rPr>
          <w:rFonts w:ascii="Times New Roman" w:hAnsi="Times New Roman"/>
          <w:b w:val="0"/>
          <w:sz w:val="8"/>
        </w:rPr>
      </w:r>
    </w:p>
    <w:p>
      <w:pPr>
        <w:spacing w:after="80"/>
      </w:pPr>
      <w:r>
        <w:rPr>
          <w:rFonts w:ascii="Times New Roman" w:hAnsi="Times New Roman"/>
          <w:b w:val="0"/>
          <w:sz w:val="20"/>
        </w:rPr>
        <w:t>С уважением,</w:t>
      </w:r>
    </w:p>
    <w:p>
      <w:pPr>
        <w:spacing w:after="80"/>
      </w:pPr>
      <w:r>
        <w:rPr>
          <w:rFonts w:ascii="Times New Roman" w:hAnsi="Times New Roman"/>
          <w:b/>
          <w:sz w:val="22"/>
        </w:rPr>
        <w:t>Генеральный директор, Анна Наумова</w:t>
      </w:r>
    </w:p>
    <w:p>
      <w:pPr>
        <w:spacing w:after="80"/>
      </w:pPr>
      <w:r>
        <w:rPr>
          <w:rFonts w:ascii="Times New Roman" w:hAnsi="Times New Roman"/>
          <w:b w:val="0"/>
          <w:sz w:val="20"/>
        </w:rPr>
        <w:t>ООО «Андромеда консалтинг»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/>
    </w:pPr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