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получение статуса резидента Фонда «Сколково» и включение в реестр МТК</w:t>
      </w:r>
    </w:p>
    <w:p/>
    <w:p>
      <w:r>
        <w:rPr>
          <w:b/>
        </w:rPr>
        <w:t xml:space="preserve">Клиент: </w:t>
      </w:r>
      <w:r>
        <w:t>ООО «АРТВЕНД»</w:t>
      </w:r>
      <w:r>
        <w:rPr>
          <w:b/>
        </w:rPr>
        <w:br/>
        <w:t xml:space="preserve">ИНН: </w:t>
      </w:r>
      <w:r>
        <w:t>7415082726</w:t>
      </w:r>
    </w:p>
    <w:p/>
    <w:p>
      <w:r>
        <w:rPr>
          <w:b/>
          <w:sz w:val="24"/>
        </w:rPr>
        <w:t>1. Текущее состояние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139,6 млн ₽</w:t>
            </w:r>
          </w:p>
        </w:tc>
        <w:tc>
          <w:tcPr>
            <w:tcW w:type="dxa" w:w="2880"/>
          </w:tcPr>
          <w:p>
            <w:r>
              <w:t>Снижение на 71% к предыдущему году</w:t>
            </w:r>
          </w:p>
        </w:tc>
      </w:tr>
      <w:tr>
        <w:tc>
          <w:tcPr>
            <w:tcW w:type="dxa" w:w="2880"/>
          </w:tcPr>
          <w:p>
            <w:r>
              <w:t>Чистая прибыль</w:t>
            </w:r>
          </w:p>
        </w:tc>
        <w:tc>
          <w:tcPr>
            <w:tcW w:type="dxa" w:w="2880"/>
          </w:tcPr>
          <w:p>
            <w:r>
              <w:t>0,9 млн ₽</w:t>
            </w:r>
          </w:p>
        </w:tc>
        <w:tc>
          <w:tcPr>
            <w:tcW w:type="dxa" w:w="2880"/>
          </w:tcPr>
          <w:p>
            <w:r>
              <w:t>Рост +293%</w:t>
            </w:r>
          </w:p>
        </w:tc>
      </w:tr>
      <w:tr>
        <w:tc>
          <w:tcPr>
            <w:tcW w:type="dxa" w:w="2880"/>
          </w:tcPr>
          <w:p>
            <w:r>
              <w:t>Численность</w:t>
            </w:r>
          </w:p>
        </w:tc>
        <w:tc>
          <w:tcPr>
            <w:tcW w:type="dxa" w:w="2880"/>
          </w:tcPr>
          <w:p>
            <w:r>
              <w:t>7 чел.</w:t>
            </w:r>
          </w:p>
        </w:tc>
        <w:tc>
          <w:tcPr>
            <w:tcW w:type="dxa" w:w="2880"/>
          </w:tcPr>
          <w:p>
            <w:r>
              <w:t>Микропредприятие</w:t>
            </w:r>
          </w:p>
        </w:tc>
      </w:tr>
      <w:tr>
        <w:tc>
          <w:tcPr>
            <w:tcW w:type="dxa" w:w="2880"/>
          </w:tcPr>
          <w:p>
            <w:r>
              <w:t>Налоговый режим</w:t>
            </w:r>
          </w:p>
        </w:tc>
        <w:tc>
          <w:tcPr>
            <w:tcW w:type="dxa" w:w="2880"/>
          </w:tcPr>
          <w:p>
            <w:r>
              <w:t>ОСН</w:t>
            </w:r>
          </w:p>
        </w:tc>
        <w:tc>
          <w:tcPr>
            <w:tcW w:type="dxa" w:w="2880"/>
          </w:tcPr>
          <w:p>
            <w:r>
              <w:t>Подходит для Сколково</w:t>
            </w:r>
          </w:p>
        </w:tc>
      </w:tr>
      <w:tr>
        <w:tc>
          <w:tcPr>
            <w:tcW w:type="dxa" w:w="2880"/>
          </w:tcPr>
          <w:p>
            <w:r>
              <w:t>Основной ОКВЭД</w:t>
            </w:r>
          </w:p>
        </w:tc>
        <w:tc>
          <w:tcPr>
            <w:tcW w:type="dxa" w:w="2880"/>
          </w:tcPr>
          <w:p>
            <w:r>
              <w:t>29.10.4</w:t>
            </w:r>
          </w:p>
        </w:tc>
        <w:tc>
          <w:tcPr>
            <w:tcW w:type="dxa" w:w="2880"/>
          </w:tcPr>
          <w:p>
            <w:r>
              <w:t>Производство грузовых автомобилей</w:t>
            </w:r>
          </w:p>
        </w:tc>
      </w:tr>
    </w:tbl>
    <w:p/>
    <w:p>
      <w:r>
        <w:rPr>
          <w:b/>
          <w:sz w:val="24"/>
        </w:rPr>
        <w:t>2. Налоговая экономия при статусе резидента Сколково</w:t>
      </w:r>
    </w:p>
    <w:p>
      <w:r>
        <w:rPr>
          <w:sz w:val="20"/>
        </w:rPr>
        <w:t>При получении статуса резидента Фонда «Сколково» компания получает следующие преференции:</w:t>
        <w:br/>
        <w:t>• Налог на прибыль — 0% (вместо 20%) — экономия ~185 тыс ₽/год</w:t>
        <w:br/>
        <w:t>• Страховые взносы — 15% (вместо 30%) — экономия ~206 тыс ₽/год</w:t>
        <w:br/>
        <w:t>• Освобождение от налога на имущество и таможенных пошлин</w:t>
        <w:br/>
        <w:br/>
        <w:t>Итого годовая экономия: ~0,4 млн ₽</w:t>
        <w:br/>
        <w:t>Прогноз на 10 лет: ~3,9 млн ₽</w:t>
      </w:r>
    </w:p>
    <w:p/>
    <w:p>
      <w:r>
        <w:rPr>
          <w:b/>
          <w:sz w:val="24"/>
        </w:rPr>
        <w:t>3. Контрфактический сценарий (10 лет)</w:t>
      </w:r>
    </w:p>
    <w:p>
      <w:r>
        <w:rPr>
          <w:sz w:val="20"/>
        </w:rPr>
        <w:t>Если компания не станет резидентом Сколково, за 10 лет она потеряет:</w:t>
        <w:br/>
        <w:t>• ~3,9 млн ₽ — налог на прибыль (без льготы 0%)</w:t>
        <w:br/>
        <w:t>• Переплата по страховым взносам ~2,1 млн ₽</w:t>
        <w:br/>
        <w:t>• Упущенный доступ к грантовым программам (до 30 млн ₽)</w:t>
        <w:br/>
        <w:t>• Упущенный доступ к льготному кредитованию в моногороде Миасс</w:t>
        <w:br/>
        <w:br/>
        <w:t>Каждый год промедления = упущенные ~0,4 млн ₽ налоговой экономии.</w:t>
      </w:r>
    </w:p>
    <w:p/>
    <w:p>
      <w:r>
        <w:rPr>
          <w:b/>
          <w:sz w:val="24"/>
        </w:rPr>
        <w:t>4.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Формирование пакета документов (аванс)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за статус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за статус МТК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Патентование (полезная модель, доп.)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</w:tbl>
    <w:p/>
    <w:p>
      <w:r>
        <w:rPr>
          <w:b/>
          <w:sz w:val="24"/>
        </w:rPr>
        <w:t>5. Дорожная карта</w:t>
      </w:r>
    </w:p>
    <w:p>
      <w:r>
        <w:rPr>
          <w:sz w:val="20"/>
        </w:rPr>
        <w:t>1. Анализ компании — 1-2 дня</w:t>
        <w:br/>
        <w:t>2. Подача заявки в Сколково — 2-3 недели</w:t>
        <w:br/>
        <w:t>3. Получение статуса — 2-3 месяца</w:t>
        <w:br/>
        <w:t>4. Параллельно: патентование полезной модели — 4-5 мес.</w:t>
        <w:br/>
        <w:t>5. При необходимости: подача на МТК</w:t>
        <w:br/>
        <w:t>6. Отчётность: 4 квартальных + 1 годовой отчёт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