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left"/>
      </w:pPr>
      <w:r>
        <w:rPr>
          <w:b/>
          <w:bCs/>
          <w:color w:val="5E5CE6"/>
          <w:sz w:val="22"/>
          <w:szCs w:val="22"/>
        </w:rPr>
        <w:t xml:space="preserve">ПЛАН РАБОТ</w:t>
      </w:r>
    </w:p>
    <w:p>
      <w:pPr>
        <w:spacing w:after="120"/>
      </w:pPr>
      <w:r>
        <w:rPr>
          <w:b/>
          <w:bCs/>
          <w:color w:val="1C1C1E"/>
          <w:sz w:val="40"/>
          <w:szCs w:val="40"/>
        </w:rPr>
        <w:t xml:space="preserve">ИИ-агент Hermes, подключение MCP, обезличивание данных и полное логирование</w:t>
      </w:r>
    </w:p>
    <w:p>
      <w:pPr>
        <w:spacing w:after="40"/>
      </w:pPr>
      <w:r>
        <w:rPr>
          <w:color w:val="6E6E73"/>
          <w:sz w:val="22"/>
          <w:szCs w:val="22"/>
        </w:rPr>
        <w:t xml:space="preserve">Проект: Инвестиционный процессор (Invest AI)</w:t>
      </w:r>
    </w:p>
    <w:p>
      <w:pPr>
        <w:spacing w:after="40"/>
      </w:pPr>
      <w:r>
        <w:rPr>
          <w:color w:val="6E6E73"/>
          <w:sz w:val="22"/>
          <w:szCs w:val="22"/>
        </w:rPr>
        <w:t xml:space="preserve">Дата: 30 июля 2026</w:t>
      </w:r>
    </w:p>
    <w:p>
      <w:pPr>
        <w:pBdr>
          <w:bottom w:val="single" w:color="5E5CE6" w:sz="12" w:space="8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C1C1E"/>
          <w:sz w:val="30"/>
          <w:szCs w:val="3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C1C1E"/>
          <w:sz w:val="30"/>
          <w:szCs w:val="30"/>
        </w:rPr>
        <w:t xml:space="preserve">1. Контекст и цели</w:t>
      </w:r>
    </w:p>
    <w:p>
      <w:pPr>
        <w:spacing w:after="120" w:line="276"/>
      </w:pPr>
      <w:r>
        <w:rPr>
          <w:color w:val="1C1C1E"/>
          <w:sz w:val="21"/>
          <w:szCs w:val="21"/>
        </w:rPr>
        <w:t xml:space="preserve">«Инвестиционный процессор» — внутренний корпоративный сервис управления инвестиционными </w:t>
      </w:r>
      <w:r>
        <w:rPr>
          <w:color w:val="1C1C1E"/>
          <w:sz w:val="21"/>
          <w:szCs w:val="21"/>
        </w:rPr>
        <w:t xml:space="preserve">заявками (проекты, операционные инициативы, смарт-контракты) с ролевым согласованием, </w:t>
      </w:r>
      <w:r>
        <w:rPr>
          <w:color w:val="1C1C1E"/>
          <w:sz w:val="21"/>
          <w:szCs w:val="21"/>
        </w:rPr>
        <w:t xml:space="preserve">финансовыми расчётами и ИИ-анализом. Настоящий план описывает четыре взаимосвязанных блока </w:t>
      </w:r>
      <w:r>
        <w:rPr>
          <w:color w:val="1C1C1E"/>
          <w:sz w:val="21"/>
          <w:szCs w:val="21"/>
        </w:rPr>
        <w:t xml:space="preserve">работ, расширяющих систему автономным ИИ-агентом и контурами безопасности.</w:t>
      </w:r>
    </w:p>
    <w:p>
      <w:pPr>
        <w:spacing w:after="120" w:line="276"/>
      </w:pPr>
      <w:r>
        <w:rPr>
          <w:b/>
          <w:bCs/>
          <w:color w:val="1C1C1E"/>
          <w:sz w:val="21"/>
          <w:szCs w:val="21"/>
        </w:rPr>
        <w:t xml:space="preserve">Задачи заказчика: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color w:val="1C1C1E"/>
          <w:sz w:val="21"/>
          <w:szCs w:val="21"/>
        </w:rPr>
        <w:t xml:space="preserve">Подключить MCP-сервис для работы с ИИ-агентами.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color w:val="1C1C1E"/>
          <w:sz w:val="21"/>
          <w:szCs w:val="21"/>
        </w:rPr>
        <w:t xml:space="preserve">Создать ИИ-агента </w:t>
      </w:r>
      <w:r>
        <w:rPr>
          <w:b/>
          <w:bCs/>
          <w:color w:val="1C1C1E"/>
          <w:sz w:val="21"/>
          <w:szCs w:val="21"/>
        </w:rPr>
        <w:t xml:space="preserve">Hermes</w:t>
      </w:r>
      <w:r>
        <w:rPr>
          <w:color w:val="1C1C1E"/>
          <w:sz w:val="21"/>
          <w:szCs w:val="21"/>
        </w:rPr>
        <w:t xml:space="preserve"> (на первом этапе — простые задачи): согласование заявок и напоминания в мессенджере </w:t>
      </w:r>
      <w:r>
        <w:rPr>
          <w:color w:val="1C1C1E"/>
          <w:sz w:val="21"/>
          <w:szCs w:val="21"/>
        </w:rPr>
        <w:t xml:space="preserve">Mattermost, ответы на вопросы и аналитика по действующим проектам.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color w:val="1C1C1E"/>
          <w:sz w:val="21"/>
          <w:szCs w:val="21"/>
        </w:rPr>
        <w:t xml:space="preserve">Реализовать обезличивание данных при обмене информацией с ИИ.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color w:val="1C1C1E"/>
          <w:sz w:val="21"/>
          <w:szCs w:val="21"/>
        </w:rPr>
        <w:t xml:space="preserve">Построить полное логирование для быстрого реагирования на ошибки.</w:t>
      </w:r>
    </w:p>
    <w:p>
      <w:pPr>
        <w:pStyle w:val="Heading2"/>
        <w:spacing w:after="100" w:before="220"/>
      </w:pPr>
      <w:r>
        <w:rPr>
          <w:b/>
          <w:bCs/>
          <w:color w:val="5E5CE6"/>
          <w:sz w:val="24"/>
          <w:szCs w:val="24"/>
        </w:rPr>
        <w:t xml:space="preserve">Зафиксированные решения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Согласующие остаются </w:t>
      </w:r>
      <w:r>
        <w:rPr>
          <w:b/>
          <w:bCs/>
          <w:color w:val="1C1C1E"/>
          <w:sz w:val="21"/>
          <w:szCs w:val="21"/>
        </w:rPr>
        <w:t xml:space="preserve">CFO / менеджер</w:t>
      </w:r>
      <w:r>
        <w:rPr>
          <w:color w:val="1C1C1E"/>
          <w:sz w:val="21"/>
          <w:szCs w:val="21"/>
        </w:rPr>
        <w:t xml:space="preserve"> — ролевую модель не меняем (CEO — наблюдатель). Hermes направляет запросы действующим согласующим.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Реализуется </w:t>
      </w:r>
      <w:r>
        <w:rPr>
          <w:b/>
          <w:bCs/>
          <w:color w:val="1C1C1E"/>
          <w:sz w:val="21"/>
          <w:szCs w:val="21"/>
        </w:rPr>
        <w:t xml:space="preserve">собственный MCP-сервер</w:t>
      </w:r>
      <w:r>
        <w:rPr>
          <w:color w:val="1C1C1E"/>
          <w:sz w:val="21"/>
          <w:szCs w:val="21"/>
        </w:rPr>
        <w:t xml:space="preserve">, экспонирующий данные и действия системы как MCP-инструменты; Hermes работает поверх них.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Hermes использует </w:t>
      </w:r>
      <w:r>
        <w:rPr>
          <w:b/>
          <w:bCs/>
          <w:color w:val="1C1C1E"/>
          <w:sz w:val="21"/>
          <w:szCs w:val="21"/>
        </w:rPr>
        <w:t xml:space="preserve">существующих ИИ-провайдеров (RouterAI / Anthropic)</w:t>
      </w:r>
      <w:r>
        <w:rPr>
          <w:color w:val="1C1C1E"/>
          <w:sz w:val="21"/>
          <w:szCs w:val="21"/>
        </w:rPr>
        <w:t xml:space="preserve"> через единый диспетчер вызовов плюс слой обезличивания перед отправкой.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MCP-сервер и фоновый worker Hermes </w:t>
      </w:r>
      <w:r>
        <w:rPr>
          <w:b/>
          <w:bCs/>
          <w:color w:val="1C1C1E"/>
          <w:sz w:val="21"/>
          <w:szCs w:val="21"/>
        </w:rPr>
        <w:t xml:space="preserve">физически работают внутри существующего контейнера backend</w:t>
      </w:r>
      <w:r>
        <w:rPr>
          <w:color w:val="1C1C1E"/>
          <w:sz w:val="21"/>
          <w:szCs w:val="21"/>
        </w:rPr>
        <w:t xml:space="preserve"> — отдельных сервисов в инфраструктуре не добавляется.</w:t>
      </w:r>
    </w:p>
    <w:p>
      <w:pPr>
        <w:pStyle w:val="Heading1"/>
        <w:spacing w:after="160" w:before="320"/>
      </w:pPr>
      <w:r>
        <w:rPr>
          <w:b/>
          <w:bCs/>
          <w:color w:val="1C1C1E"/>
          <w:sz w:val="30"/>
          <w:szCs w:val="30"/>
        </w:rPr>
        <w:t xml:space="preserve">2. Состав работ</w:t>
      </w:r>
    </w:p>
    <w:p>
      <w:pPr>
        <w:spacing w:after="120" w:line="276"/>
      </w:pPr>
      <w:r>
        <w:rPr>
          <w:color w:val="1C1C1E"/>
          <w:sz w:val="21"/>
          <w:szCs w:val="21"/>
        </w:rPr>
        <w:t xml:space="preserve">Четыре блока и их основные результаты: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shd w:fill="5E5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4200"/>
            <w:shd w:fill="5E5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2560"/>
            <w:shd w:fill="5E5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 для бизнеса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1. MCP-сервер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Управляемый, авторизованный доступ ИИ-агентов к данным и действиям системы через набор MCP-инструментов (чтение проектов, метрик, майлстоунов; действия под контролем прав).</w:t>
            </w:r>
          </w:p>
        </w:tc>
        <w:tc>
          <w:tcPr>
            <w:tcW w:type="dxa" w:w="2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Единая безопасная «шина» для ИИ-агентов, переиспользующая существующую логику.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2. Агент Hermes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Агент в Mattermost: запросы на согласование с кнопками, напоминания заявителям обновить факт и майлстоуны, ответы на вопросы и аналитика.</w:t>
            </w:r>
          </w:p>
        </w:tc>
        <w:tc>
          <w:tcPr>
            <w:tcW w:type="dxa" w:w="2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Ускорение согласований и контроль исполнения без ручных напоминаний.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3. Обезличивание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Обратимая псевдонимизация имён, ФИО, кодов МВЗ и идентифицирующего текста перед отправкой в ИИ; восстановление в ответе.</w:t>
            </w:r>
          </w:p>
        </w:tc>
        <w:tc>
          <w:tcPr>
            <w:tcW w:type="dxa" w:w="2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Соответствие политике защиты данных; чувствительные данные не покидают периметр открыто.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4. Логирование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Централизованные структурированные логи, сквозные request-ID, аудит обращений к ИИ и действий агента, алерты об ошибках.</w:t>
            </w:r>
          </w:p>
        </w:tc>
        <w:tc>
          <w:tcPr>
            <w:tcW w:type="dxa" w:w="2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Быстрая диагностика инцидентов и прозрачный аудит действий ИИ.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C1C1E"/>
          <w:sz w:val="30"/>
          <w:szCs w:val="30"/>
        </w:rPr>
        <w:t xml:space="preserve">3. Этапы реализации</w:t>
      </w:r>
    </w:p>
    <w:p>
      <w:pPr>
        <w:spacing w:after="120" w:line="276"/>
      </w:pPr>
      <w:r>
        <w:rPr>
          <w:color w:val="1C1C1E"/>
          <w:sz w:val="21"/>
          <w:szCs w:val="21"/>
        </w:rPr>
        <w:t xml:space="preserve">Рекомендуемая последовательность: </w:t>
      </w:r>
      <w:r>
        <w:rPr>
          <w:b/>
          <w:bCs/>
          <w:color w:val="1C1C1E"/>
          <w:sz w:val="21"/>
          <w:szCs w:val="21"/>
        </w:rPr>
        <w:t xml:space="preserve">сначала фундамент безопасности</w:t>
      </w:r>
      <w:r>
        <w:rPr>
          <w:color w:val="1C1C1E"/>
          <w:sz w:val="21"/>
          <w:szCs w:val="21"/>
        </w:rPr>
        <w:t xml:space="preserve"> (логирование и обезличивание), затем MCP и агент. Это исключает вывод автономного ИИ-агента </w:t>
      </w:r>
      <w:r>
        <w:rPr>
          <w:color w:val="1C1C1E"/>
          <w:sz w:val="21"/>
          <w:szCs w:val="21"/>
        </w:rPr>
        <w:t xml:space="preserve">без контуров защиты данных и наблюдаемости.</w:t>
      </w:r>
    </w:p>
    <w:p>
      <w:pPr>
        <w:pStyle w:val="Heading2"/>
        <w:spacing w:after="100" w:before="220"/>
      </w:pPr>
      <w:r>
        <w:rPr>
          <w:b/>
          <w:bCs/>
          <w:color w:val="5E5CE6"/>
          <w:sz w:val="24"/>
          <w:szCs w:val="24"/>
        </w:rPr>
        <w:t xml:space="preserve">Фаза 0 — Фундамент безопасности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Централизованное структурированное логирование (JSON), уровни через конфигурацию, вывод в stdout и файл.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Middleware со сквозным request-ID, метриками запроса и пользователем; глобальные обработчики исключений.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Аудит выхода к ИИ: провайдер, модель, факт применения обезличивания и типы замаскированных сущностей (без сырых данных).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Обратимое обезличивание в единой «горловине» вызова ИИ; управляемый флаг, включён по умолчанию в production.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1C1C1E"/>
          <w:sz w:val="21"/>
          <w:szCs w:val="21"/>
        </w:rPr>
        <w:t xml:space="preserve">Результат: </w:t>
      </w:r>
      <w:r>
        <w:rPr>
          <w:color w:val="1C1C1E"/>
          <w:sz w:val="21"/>
          <w:szCs w:val="21"/>
        </w:rPr>
        <w:t xml:space="preserve">прозрачная диагностика ошибок и защита данных — готовы к запуску агента.</w:t>
      </w:r>
    </w:p>
    <w:p>
      <w:pPr>
        <w:pStyle w:val="Heading2"/>
        <w:spacing w:after="100" w:before="220"/>
      </w:pPr>
      <w:r>
        <w:rPr>
          <w:b/>
          <w:bCs/>
          <w:color w:val="5E5CE6"/>
          <w:sz w:val="24"/>
          <w:szCs w:val="24"/>
        </w:rPr>
        <w:t xml:space="preserve">Фаза 1 — MCP-сервер и Hermes в режиме «только чтение»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MCP-сервер с инструментами чтения (проекты, статусы, метрики портфеля, майлстоуны смарт-контрактов).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Служебный аккаунт Hermes с ограниченными правами; авторизация инструментов по действующей ролевой модели.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Интеграция с Mattermost (исходящие сообщения + приём вопросов); ответы на простые аналитические запросы.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1C1C1E"/>
          <w:sz w:val="21"/>
          <w:szCs w:val="21"/>
        </w:rPr>
        <w:t xml:space="preserve">Результат: </w:t>
      </w:r>
      <w:r>
        <w:rPr>
          <w:color w:val="1C1C1E"/>
          <w:sz w:val="21"/>
          <w:szCs w:val="21"/>
        </w:rPr>
        <w:t xml:space="preserve">Hermes отвечает в мессенджере на вопросы о статусах, сроках и сводке портфеля.</w:t>
      </w:r>
    </w:p>
    <w:p>
      <w:pPr>
        <w:pStyle w:val="Heading2"/>
        <w:spacing w:after="100" w:before="220"/>
      </w:pPr>
      <w:r>
        <w:rPr>
          <w:b/>
          <w:bCs/>
          <w:color w:val="5E5CE6"/>
          <w:sz w:val="24"/>
          <w:szCs w:val="24"/>
        </w:rPr>
        <w:t xml:space="preserve">Фаза 2 — Согласования в Mattermost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Хук на смену статуса: при отправке заявки на согласование Hermes постит CFO/менеджеру карточку с кнопками «Согласовать / Отклонить / На доработку».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Нажатие кнопки → изменение статуса заявки (с проверкой прав) и запись в аудит.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Напоминания заявителю обновить фактические метрики и достижение майлстоунов смарт-контракта.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1C1C1E"/>
          <w:sz w:val="21"/>
          <w:szCs w:val="21"/>
        </w:rPr>
        <w:t xml:space="preserve">Результат: </w:t>
      </w:r>
      <w:r>
        <w:rPr>
          <w:color w:val="1C1C1E"/>
          <w:sz w:val="21"/>
          <w:szCs w:val="21"/>
        </w:rPr>
        <w:t xml:space="preserve">согласование заявок и контроль исполнения выполняются прямо из мессенджера.</w:t>
      </w:r>
    </w:p>
    <w:p>
      <w:pPr>
        <w:pStyle w:val="Heading2"/>
        <w:spacing w:after="100" w:before="220"/>
      </w:pPr>
      <w:r>
        <w:rPr>
          <w:b/>
          <w:bCs/>
          <w:color w:val="5E5CE6"/>
          <w:sz w:val="24"/>
          <w:szCs w:val="24"/>
        </w:rPr>
        <w:t xml:space="preserve">Фаза 3 — Действия на запись и приёмочная готовность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Запись факта и статуса майлстоунов через Hermes (новый эндпоинт верификации майлстоунов — сейчас есть только на фронте).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Полный аудит действий агента, автотесты, эксплуатационная документация и харднинг.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1C1C1E"/>
          <w:sz w:val="21"/>
          <w:szCs w:val="21"/>
        </w:rPr>
        <w:t xml:space="preserve">Результат: </w:t>
      </w:r>
      <w:r>
        <w:rPr>
          <w:color w:val="1C1C1E"/>
          <w:sz w:val="21"/>
          <w:szCs w:val="21"/>
        </w:rPr>
        <w:t xml:space="preserve">законченный контур: агент не только напоминает, но и фиксирует данные под контролем прав и аудита.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C1C1E"/>
          <w:sz w:val="30"/>
          <w:szCs w:val="30"/>
        </w:rPr>
        <w:t xml:space="preserve">4. Архитектурные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5E5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5960"/>
            <w:shd w:fill="5E5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Кто согласует</w:t>
            </w:r>
          </w:p>
        </w:tc>
        <w:tc>
          <w:tcPr>
            <w:tcW w:type="dxa" w:w="59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CFO / менеджер (без изменения ролевой модели). Hermes уведомляет действующих согласующих.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Что такое MCP-часть</w:t>
            </w:r>
          </w:p>
        </w:tc>
        <w:tc>
          <w:tcPr>
            <w:tcW w:type="dxa" w:w="59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Собственный MCP-сервер поверх существующих сервисов; Hermes — агент-клиент этих инструментов.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LLM для Hermes</w:t>
            </w:r>
          </w:p>
        </w:tc>
        <w:tc>
          <w:tcPr>
            <w:tcW w:type="dxa" w:w="59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Существующие провайдеры RouterAI / Anthropic через единый диспетчер + обязательный слой обезличивания.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Размещение</w:t>
            </w:r>
          </w:p>
        </w:tc>
        <w:tc>
          <w:tcPr>
            <w:tcW w:type="dxa" w:w="59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MCP-сервер и worker Hermes — внутри контейнера backend (тот же процесс). Новых сервисов в compose нет.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Обработка вебхуков</w:t>
            </w:r>
          </w:p>
        </w:tc>
        <w:tc>
          <w:tcPr>
            <w:tcW w:type="dxa" w:w="59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Вебхук Mattermost отвечает мгновенно; агентная обработка — в фоне (asyncio), результат постится отдельным сообщением.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C1C1E"/>
          <w:sz w:val="30"/>
          <w:szCs w:val="30"/>
        </w:rPr>
        <w:t xml:space="preserve">5. Установка и настройка Hermes</w:t>
      </w:r>
    </w:p>
    <w:p>
      <w:pPr>
        <w:spacing w:after="120" w:line="276"/>
      </w:pPr>
      <w:r>
        <w:rPr>
          <w:color w:val="1C1C1E"/>
          <w:sz w:val="21"/>
          <w:szCs w:val="21"/>
        </w:rPr>
        <w:t xml:space="preserve">Hermes — не отдельный продукт, а кастомный агент внутри вашего бэкенда: LLM (RouterAI/Anthropic) </w:t>
      </w:r>
      <w:r>
        <w:rPr>
          <w:color w:val="1C1C1E"/>
          <w:sz w:val="21"/>
          <w:szCs w:val="21"/>
        </w:rPr>
        <w:t xml:space="preserve">+ MCP-клиент к нашему MCP-серверу + бот Mattermost. MCP-сервер и worker работают внутри </w:t>
      </w:r>
      <w:r>
        <w:rPr>
          <w:color w:val="1C1C1E"/>
          <w:sz w:val="21"/>
          <w:szCs w:val="21"/>
        </w:rPr>
        <w:t xml:space="preserve">контейнера backend, поэтому «установка» — это развёртывание и связывание частей конфигурацией.</w:t>
      </w:r>
    </w:p>
    <w:p>
      <w:pPr>
        <w:pStyle w:val="Heading2"/>
        <w:spacing w:after="100" w:before="220"/>
      </w:pPr>
      <w:r>
        <w:rPr>
          <w:b/>
          <w:bCs/>
          <w:color w:val="5E5CE6"/>
          <w:sz w:val="24"/>
          <w:szCs w:val="24"/>
        </w:rPr>
        <w:t xml:space="preserve">Предпосылки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Работающий Invest AI, ключ ИИ введён в Настройках, обмен с ИИ включён ответственным лицом.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1C1E"/>
          <w:sz w:val="21"/>
          <w:szCs w:val="21"/>
        </w:rPr>
        <w:t xml:space="preserve">Свой Mattermost с правами администратора; включены Bot Accounts, слэш-команды и интерактивные диалоги/вебхуки.</w:t>
      </w:r>
    </w:p>
    <w:p>
      <w:pPr>
        <w:pStyle w:val="Heading2"/>
        <w:spacing w:after="100" w:before="220"/>
      </w:pPr>
      <w:r>
        <w:rPr>
          <w:b/>
          <w:bCs/>
          <w:color w:val="5E5CE6"/>
          <w:sz w:val="24"/>
          <w:szCs w:val="24"/>
        </w:rPr>
        <w:t xml:space="preserve">Порядок настройки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color w:val="1C1C1E"/>
          <w:sz w:val="21"/>
          <w:szCs w:val="21"/>
        </w:rPr>
        <w:t xml:space="preserve">Создать бота hermes в Mattermost, скопировать токен, завести ops-канал для алертов, запомнить команду (team).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color w:val="1C1C1E"/>
          <w:sz w:val="21"/>
          <w:szCs w:val="21"/>
        </w:rPr>
        <w:t xml:space="preserve">Завести служебный аккаунт hermes в системе (ограниченный скоуп) и выпустить сервисный ключ для вызова MCP-инструментов.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color w:val="1C1C1E"/>
          <w:sz w:val="21"/>
          <w:szCs w:val="21"/>
        </w:rPr>
        <w:t xml:space="preserve">Заполнить конфигурацию (env): адрес и токен Mattermost, команда/каналы, секрет вебхука, служебный ключ Hermes, уровень логирования.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color w:val="1C1C1E"/>
          <w:sz w:val="21"/>
          <w:szCs w:val="21"/>
        </w:rPr>
        <w:t xml:space="preserve">Зарегистрировать в Mattermost слэш-команду и/или исходящий вебхук на эндпоинт приёма сообщений Hermes с секретом.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color w:val="1C1C1E"/>
          <w:sz w:val="21"/>
          <w:szCs w:val="21"/>
        </w:rPr>
        <w:t xml:space="preserve">Запустить систему (docker compose up): при старте backend поднимаются MCP-маршрут и фоновый worker Hermes — отдельного контейнера не требуется.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color w:val="1C1C1E"/>
          <w:sz w:val="21"/>
          <w:szCs w:val="21"/>
        </w:rPr>
        <w:t xml:space="preserve">Проверка: ЛС боту «статус проекта N» → ответ с данными; перевод заявки на согласование → карточка с кнопками у CFO/менеджера.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C1C1E"/>
          <w:sz w:val="30"/>
          <w:szCs w:val="30"/>
        </w:rPr>
        <w:t xml:space="preserve">6. Предпосылки, ограничения и риски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1C1C1E"/>
          <w:sz w:val="21"/>
          <w:szCs w:val="21"/>
        </w:rPr>
        <w:t xml:space="preserve">Нет готовой фоновой инфраструктуры</w:t>
      </w:r>
      <w:r>
        <w:rPr>
          <w:color w:val="1C1C1E"/>
          <w:sz w:val="21"/>
          <w:szCs w:val="21"/>
        </w:rPr>
        <w:t xml:space="preserve"> (очереди/планировщик отсутствуют) — вводим лёгкий фоновый обработчик внутри backend; тяжёлую оркестрацию не строим на этом этапе.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1C1C1E"/>
          <w:sz w:val="21"/>
          <w:szCs w:val="21"/>
        </w:rPr>
        <w:t xml:space="preserve">Верификация майлстоунов сейчас только на фронте</w:t>
      </w:r>
      <w:r>
        <w:rPr>
          <w:color w:val="1C1C1E"/>
          <w:sz w:val="21"/>
          <w:szCs w:val="21"/>
        </w:rPr>
        <w:t xml:space="preserve"> — потребуется добавить серверный эндпоинт (учтено в Фазе 3).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1C1C1E"/>
          <w:sz w:val="21"/>
          <w:szCs w:val="21"/>
        </w:rPr>
        <w:t xml:space="preserve">Обмен с ИИ</w:t>
      </w:r>
      <w:r>
        <w:rPr>
          <w:color w:val="1C1C1E"/>
          <w:sz w:val="21"/>
          <w:szCs w:val="21"/>
        </w:rPr>
        <w:t xml:space="preserve"> остаётся опциональным и включается ответственным лицом; обезличивание обязательно для агента.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1C1C1E"/>
          <w:sz w:val="21"/>
          <w:szCs w:val="21"/>
        </w:rPr>
        <w:t xml:space="preserve">Доступ к Mattermost и ИИ-провайдеру</w:t>
      </w:r>
      <w:r>
        <w:rPr>
          <w:color w:val="1C1C1E"/>
          <w:sz w:val="21"/>
          <w:szCs w:val="21"/>
        </w:rPr>
        <w:t xml:space="preserve"> со стороны заказчика — необходимое условие запуска (боты, токены, сетевой доступ).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1C1C1E"/>
          <w:sz w:val="21"/>
          <w:szCs w:val="21"/>
        </w:rPr>
        <w:t xml:space="preserve">Простые задачи в приоритете</w:t>
      </w:r>
      <w:r>
        <w:rPr>
          <w:color w:val="1C1C1E"/>
          <w:sz w:val="21"/>
          <w:szCs w:val="21"/>
        </w:rPr>
        <w:t xml:space="preserve"> — сложные сценарии (арбитраж споров по майлстоунам и т. п.) выносятся за рамки первого этапа.</w:t>
      </w:r>
    </w:p>
    <w:p>
      <w:pPr>
        <w:pStyle w:val="Heading1"/>
        <w:spacing w:after="160" w:before="320"/>
      </w:pPr>
      <w:r>
        <w:rPr>
          <w:b/>
          <w:bCs/>
          <w:color w:val="1C1C1E"/>
          <w:sz w:val="30"/>
          <w:szCs w:val="30"/>
        </w:rPr>
        <w:t xml:space="preserve">7. Приёмка (проверка результата)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color w:val="1C1C1E"/>
          <w:sz w:val="21"/>
          <w:szCs w:val="21"/>
        </w:rPr>
        <w:t xml:space="preserve">Логирование: запрос к системе фиксируется структурированным логом с request-ID и латентностью; необработанная ошибка — с трейсбеком и сообщением в ops-канал.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color w:val="1C1C1E"/>
          <w:sz w:val="21"/>
          <w:szCs w:val="21"/>
        </w:rPr>
        <w:t xml:space="preserve">Обезличивание: аудит показывает, что имена и коды замаскированы, а ответ пользователю восстановлен корректно.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color w:val="1C1C1E"/>
          <w:sz w:val="21"/>
          <w:szCs w:val="21"/>
        </w:rPr>
        <w:t xml:space="preserve">MCP: инструменты чтения возвращают реальные данные; действия на запись отклоняются при недостатке прав.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color w:val="1C1C1E"/>
          <w:sz w:val="21"/>
          <w:szCs w:val="21"/>
        </w:rPr>
        <w:t xml:space="preserve">Hermes Q&amp;A: вопрос в Mattermost получает корректный ответ по действующим проектам.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color w:val="1C1C1E"/>
          <w:sz w:val="21"/>
          <w:szCs w:val="21"/>
        </w:rPr>
        <w:t xml:space="preserve">Hermes согласование: заявка на согласование → карточка с кнопками → нажатие меняет статус и уведомляет заявителя; всё в аудите.</w:t>
      </w:r>
    </w:p>
    <w:p>
      <w:pPr>
        <w:pBdr>
          <w:top w:val="single" w:color="D0D0D5" w:sz="8" w:space="10"/>
        </w:pBdr>
        <w:spacing w:after="0" w:before="400"/>
      </w:pPr>
      <w:r>
        <w:rPr>
          <w:i/>
          <w:iCs/>
          <w:color w:val="6E6E73"/>
          <w:sz w:val="18"/>
          <w:szCs w:val="18"/>
        </w:rPr>
        <w:t xml:space="preserve">Документ подготовлен как план работ. Реализация начинается после согласования объёма и приоритетов этапов.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работ: Hermes, MCP, обезличивание, логирование</dc:title>
  <dc:creator>Invest AI</dc:creator>
  <cp:lastModifiedBy>Un-named</cp:lastModifiedBy>
  <cp:revision>1</cp:revision>
  <dcterms:created xsi:type="dcterms:W3CDTF">2026-07-30T08:56:06.268Z</dcterms:created>
  <dcterms:modified xsi:type="dcterms:W3CDTF">2026-07-30T08:56:06.268Z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