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color w:val="315E86"/>
          <w:sz w:val="20"/>
        </w:rPr>
        <w:t>ОТЧЁТ О СООТВЕТСТВИИ ТЗ</w:t>
      </w:r>
    </w:p>
    <w:p>
      <w:pPr>
        <w:pStyle w:val="Title"/>
      </w:pPr>
      <w:r>
        <w:rPr>
          <w:rFonts w:ascii="Calibri" w:hAnsi="Calibri" w:eastAsia="Calibri"/>
          <w:b/>
          <w:color w:val="1F2937"/>
          <w:sz w:val="48"/>
        </w:rPr>
        <w:t>Lawyer</w:t>
      </w:r>
    </w:p>
    <w:p>
      <w:pPr>
        <w:spacing w:after="360"/>
      </w:pPr>
      <w:r>
        <w:rPr>
          <w:rFonts w:ascii="Calibri" w:hAnsi="Calibri" w:eastAsia="Calibri"/>
          <w:color w:val="667085"/>
          <w:sz w:val="32"/>
        </w:rPr>
        <w:t>Управленческая панель продаж и маркетинга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Основание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«ТЗ — панель продаж — итоговое — Lawyer»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Объект проверки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Исходный код, база данных и production lawyer.futuguru.com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Дата среза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 сентября 2026 года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Назначение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Сверка требований, текущей реализации и остаточных работ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top w:val="single" w:sz="1" w:color="FFF4CC"/>
              <w:left w:val="single" w:sz="1" w:color="FFF4CC"/>
              <w:bottom w:val="single" w:sz="1" w:color="FFF4CC"/>
              <w:right w:val="single" w:sz="1" w:color="FFF4CC"/>
              <w:insideH w:val="single" w:sz="1" w:color="FFF4CC"/>
              <w:insideV w:val="single" w:sz="1" w:color="FFF4CC"/>
            </w:tcBorders>
            <w:shd w:fill="FFF4CC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315E86"/>
                <w:sz w:val="21"/>
              </w:rPr>
              <w:t>Главный вывод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1F2937"/>
                <w:sz w:val="19"/>
              </w:rPr>
              <w:t>Система развёрнута и имеет рабочую базу для двух Bitrix24, трёх юрлиц, 1С, Яндекса, SLA, расходов и ROMI. Однако полное соответствие ТЗ пока не достигнуто: часть боевых источников не даёт фактов, а ряд аналитических и ролевых функций ещё не реализован.</w:t>
            </w:r>
          </w:p>
        </w:tc>
      </w:tr>
    </w:tbl>
    <w:p>
      <w:pPr>
        <w:spacing w:after="0"/>
      </w:pPr>
    </w:p>
    <w:p>
      <w:pPr>
        <w:pStyle w:val="Heading1"/>
      </w:pPr>
      <w:r>
        <w:t>1. Как читать отчёт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Реализовано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Функция есть в коде, видна в интерфейсе или работает в сервисном слое.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Частично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Есть каркас или часть расчёта, но не все поля, формулы или источники доведены до результата.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Требует настройки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Код готов, но нужны доступы, сопоставления или начальные данны Заказчика.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Не реализовано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Требуется доработка кода.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Отложено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Исключено из текущего запуска по прямому указанию Заказчика.</w:t>
            </w:r>
          </w:p>
        </w:tc>
      </w:tr>
    </w:tbl>
    <w:p>
      <w:pPr>
        <w:spacing w:after="0"/>
      </w:pPr>
    </w:p>
    <w:p>
      <w:pPr>
        <w:pStyle w:val="Heading1"/>
      </w:pPr>
      <w:r>
        <w:t>2. Итог аудита</w:t>
      </w:r>
    </w:p>
    <w:p>
      <w:r>
        <w:rPr>
          <w:rFonts w:ascii="Calibri" w:hAnsi="Calibri" w:eastAsia="Calibri"/>
        </w:rPr>
        <w:t>Проверка выполнена по актуальному ТЗ, коду, миграциям, API, production-базе и собранному web-интерфейсу. Доступы и секреты в отчёт не включены.</w:t>
      </w:r>
    </w:p>
    <w:p>
      <w:pPr>
        <w:pStyle w:val="ListBullet"/>
      </w:pPr>
      <w:r>
        <w:rPr>
          <w:rFonts w:ascii="Calibri" w:hAnsi="Calibri" w:eastAsia="Calibri"/>
        </w:rPr>
        <w:t>Платформа развёрнута на https://lawyer.futuguru.com, API в production отвечает, PostgreSQL и миграции актуальны.</w:t>
      </w:r>
    </w:p>
    <w:p>
      <w:pPr>
        <w:pStyle w:val="ListBullet"/>
      </w:pPr>
      <w:r>
        <w:rPr>
          <w:rFonts w:ascii="Calibri" w:hAnsi="Calibri" w:eastAsia="Calibri"/>
        </w:rPr>
        <w:t>В базе 354 сделки Bitrix24, но 0 записей истории стадий, 0 поступлений 1С, 0 расходов Директа, 0 визитов Метрики и 0 AI-инсайтов. Это ограничивает полезность части блоков.</w:t>
      </w:r>
    </w:p>
    <w:p>
      <w:pPr>
        <w:pStyle w:val="ListBullet"/>
      </w:pPr>
      <w:r>
        <w:rPr>
          <w:rFonts w:ascii="Calibri" w:hAnsi="Calibri" w:eastAsia="Calibri"/>
        </w:rPr>
        <w:t>Включено 15 воронок вместо 11 из ТЗ; это не ошибка механизма, но незавершённая бизнес-настройка.</w:t>
      </w:r>
    </w:p>
    <w:p>
      <w:pPr>
        <w:pStyle w:val="ListBullet"/>
      </w:pPr>
      <w:r>
        <w:rPr>
          <w:rFonts w:ascii="Calibri" w:hAnsi="Calibri" w:eastAsia="Calibri"/>
        </w:rPr>
        <w:t>Отделы, сотрудники и планы в production не заполнены; список менеджеров зависит от прав Bitrix24 на метод user.get.</w:t>
      </w:r>
    </w:p>
    <w:p>
      <w:pPr>
        <w:pStyle w:val="ListBullet"/>
      </w:pPr>
      <w:r>
        <w:rPr>
          <w:rFonts w:ascii="Calibri" w:hAnsi="Calibri" w:eastAsia="Calibri"/>
        </w:rPr>
        <w:t>Ручные расходы и возвращённый ROMI внесены в production; миграция 0009 применена, 114 backend-тестов прошли.</w:t>
      </w:r>
    </w:p>
    <w:p>
      <w:pPr>
        <w:pStyle w:val="Heading1"/>
      </w:pPr>
      <w:r>
        <w:t>3. Источники данных и архитектура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Требование ТЗ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Статус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Как реализовано / где находится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Что осталось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Один дашборд; 3 юрлица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E7F6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Единое приложение. Глобальный фильтр юрлица; Настройки → Юрлица. ИНН ЮО, ЦСВ и УрПАСЭ заданы.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Ничего по трём основным юрлицам.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2 портала Bitrix24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Интеграции → Bitrix24: два входящих webhook. Сделки загружаются; есть проверка связи и выбор воронок.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Выгрузка истории стадий и активностей не включена в конвейер.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Имена ответственных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Требует настройки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Настройки → Структура и планы: сопоставление ID пользователя, источника CRM, ФИО, юрлица и отдела.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Дать webhook право user_brief/user.get или заполнить сопоставления вручную.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1С: POST + Basic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Требует настройки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Адаптер боевого endpoint, Basic Authentication, скользящее окно, дедупликация и журнал сопоставлений реализованы.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В production 0 поступлений: проверить учётные данны, сеть и ручной запуск ingest.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Фильтры поступлений 1С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E7F6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ИНН получателя; Код_BTX/Тип_BTX; исключение внутригрупповых переводов; белый список точных статей ДДС; типы операций.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Тест на боевой выгрузке и разбор исключённых/несопоставленных строк.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РЦА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1ECFF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Отложено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Не включено в три утверждённых юрлица.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Нужен точный ИНН и решение о включении.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3 аккаунта Директа/Метрики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Требует настройки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Интеграции → Яндекс: отдельные поля на ЮО, ЦСВ, УрПАСЭ; адаптеры Direct Reports API и Metrika API.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Токены есть, но нужны логины Direct и ID счётчиков; в базе пока 0 расходов/0 визитов.</w:t>
            </w:r>
          </w:p>
        </w:tc>
      </w:tr>
    </w:tbl>
    <w:p>
      <w:pPr>
        <w:spacing w:after="0"/>
      </w:pPr>
    </w:p>
    <w:p>
      <w:pPr>
        <w:pStyle w:val="Heading1"/>
      </w:pPr>
      <w:r>
        <w:t>4. Воронка, планирование и менеджеры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Требование ТЗ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Статус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Как реализовано / где находится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Что осталось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11 воронок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Требует настройки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Настройки → Воронки: система читает их из обоих Bitrix24, позволяет выбрать нужные, привязать юрлицо и SLA.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Сейчас включено 15. Оставить точно 7 ЮО + 2 УрПАСЭ + 2 lead-воронки.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Этапы и конверсии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На дашборде есть «Воронка обработки» с конверсиями и периодом.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Нет глобального фильтра воронки; расчёт не опирается на фактическую историю стадий.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Планы по месяцам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Настройки → Структура и планы: ввод выручки, оплат и сделок по сотруднику/юрлицу/месяцу.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Добавить звонки и встречи; план компании/отдела; план-факт и % выполнения. В production планов 0.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Ожидание оплат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DEC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Не 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В настройках можно указать целевые стадии воронок.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Нужны формулы ожидания по типам воронок и финальное правило «Заключение Контракта».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Средние суммы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DEC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Не 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Базовые суммы Bitrix24 и 1С хранятся раздельно.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Добавить KPI «Средняя сумма договора» и «Средняя сумма поступления».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Цикл сделки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DEC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Не 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Даты создания/закрытия частично доступны в сырье.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Нужны метрика, разрезы и визуализация.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Карточки менеджеров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Дашборд → «Контроль менеджеров»: в работе, просрочки, без задачи, счета, оплаты, сумма, зона.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Добавить личную конверсию, план/факт продаж, звонков, встреч.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Агрегаты отделов/МОП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DEC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Не 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Справочники отделов и привязки сотрудников есть в настройках.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Нужен отдельный расчёт/блок: лиды, сделки в работе, конверсии, звонки.</w:t>
            </w:r>
          </w:p>
        </w:tc>
      </w:tr>
    </w:tbl>
    <w:p>
      <w:pPr>
        <w:spacing w:after="0"/>
      </w:pPr>
    </w:p>
    <w:p>
      <w:pPr>
        <w:pStyle w:val="Heading1"/>
      </w:pPr>
      <w:r>
        <w:t>5. Контроль, SLA и AI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Требование ТЗ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Статус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Как реализовано / где находится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Что осталось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Сделки без движения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Мониторинг и настраиваемые пороги реализованы; SLA вынесен в настройки с историей/откатом.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Загружать stage_history и фактическое время входа в стадию; сейчас в базе 0 переходов.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Без повторного касания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Правило и порог 10 дней предусмотрены движком мониторинга.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Импортировать звонки/встречи и исключения по договорённости с клиентом.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Отказы Спам/Дубль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Причина отказа может храниться в custom-полях; оценочные нарушения вынесены в настройки.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Уточнить поле Bitrix24 и механизм ручной проверки.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SLA 1–6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Профиль SLA из файла вынесен в Настройки → SLA; пороги, задачи, поля, график, дубли и история изменений есть.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Автопроверки 1, 5, 6 не надёжны без первого касания и истории активностей; п. 2/4 требуют формализации.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Задача из алерта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E7F6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В мониторинге есть действие создания задачи через Bitrix24.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Боевая приёмка прав webhook на crm.task.add.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Еженедельный AI-разбор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Требует настройки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Планировщик на понедельник 03:30 и хранилище AI-инсайтов реализованы.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Нужен ключ LLM и боевые данны; сейчас AI-инсайтов 0.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AI-комментарий по сделке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DEC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Не 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Поле для комментария в модели сделки есть.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Нужен построчный конвейер, промпт, лимиты/повторы и отображение.</w:t>
            </w:r>
          </w:p>
        </w:tc>
      </w:tr>
    </w:tbl>
    <w:p>
      <w:pPr>
        <w:spacing w:after="0"/>
      </w:pPr>
    </w:p>
    <w:p>
      <w:pPr>
        <w:pStyle w:val="Heading1"/>
      </w:pPr>
      <w:r>
        <w:t>6. Маркетинг, расходы и ROMI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top w:val="single" w:sz="1" w:color="E7F6EC"/>
              <w:left w:val="single" w:sz="1" w:color="E7F6EC"/>
              <w:bottom w:val="single" w:sz="1" w:color="E7F6EC"/>
              <w:right w:val="single" w:sz="1" w:color="E7F6EC"/>
              <w:insideH w:val="single" w:sz="1" w:color="E7F6EC"/>
              <w:insideV w:val="single" w:sz="1" w:color="E7F6EC"/>
            </w:tcBorders>
            <w:shd w:fill="E7F6EC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315E86"/>
                <w:sz w:val="21"/>
              </w:rPr>
              <w:t>Решение по вопросу о ROMI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1F2937"/>
                <w:sz w:val="19"/>
              </w:rPr>
              <w:t>Блок «ROMI по каналам» нужен по п. 3.6 ТЗ и возвращён на дашборд. Он не показывает демо-цифры: до появления расходов и привязанных поступлений 1С выводит честное пустое состояние.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Требование ТЗ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Статус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Как реализовано / где находится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Что осталось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Источники лидов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E7F6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Дашборд → «Источники лидов»; разбивка по полю источника Bitrix24, фильтр источника.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Проверить таксономию и UTM на боевых данных.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Расходы Директа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Требует настройки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Посуточная загрузка Direct Reports API, приведение к базе без НДС, разрез по юрлицу/периоду/кампании.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Заполнить логины аккаунтов, проверить права и запустить выгрузку.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Ручные статьи расходов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E7F6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Новое требование: Настройки → Расходы. Дата, юрлицо, статья, сумма, канал, кампания, комментарий; журнал и удаление.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Заполняется пользователем.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Блок расходов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E7F6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Дашборд → «Расходы по статьям»: сумма автоматического Директа и всех ручных статей; фильтр периода/юрлица.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Появится после первой записи или выгрузки Директа.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ROMI по каналам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E7F6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Дашборд и раздел ROMI. Формула: (база дохода − рекламный расход) / расход × 100%. В ROMI входят Direct и только ручные строки с флагом.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Нужны факты Direct и связанные поступления 1С; иначе блок пуст. Не дублировать Direct вручную.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Маржа в ROMI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FF4C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Частично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Выручка берётся только из разрешённых фактических поступлений 1С, не из успешной стадии Bitrix24.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Источника себестоимости нет. До его появления это ROMI по выручке, а не по бухгалтерской марже.</w:t>
            </w:r>
          </w:p>
        </w:tc>
      </w:tr>
    </w:tbl>
    <w:p>
      <w:pPr>
        <w:spacing w:after="0"/>
      </w:pPr>
    </w:p>
    <w:p>
      <w:pPr>
        <w:pStyle w:val="Heading1"/>
      </w:pPr>
      <w:r>
        <w:t>7. Доступ и эксплуатация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Требование ТЗ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Статус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Как реализовано / где находится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Что осталось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Веб-панель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E7F6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HTTPS, авторизация, закрытый API, Docker Compose, healthcheck, миграции, worker, backup-скрипты.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Настроить операционный контроль бэкапов и алертов.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Роли: собственник/руководитель/менеджер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DECE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Не реализовано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Сейчас одна учётная запись администратора без RBAC.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Добавить пользователей, роли и скрытие финансов для менеджера.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Telegram-бот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1ECFF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Отложено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Не подключён по последнему указанию Заказчика.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Вернуть в объём после отдельного решения.</w:t>
            </w:r>
          </w:p>
        </w:tc>
      </w:tr>
      <w:tr>
        <w:trPr>
          <w:cantSplit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Calltouch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  <w:shd w:fill="F1ECFF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2937"/>
                <w:sz w:val="16"/>
              </w:rPr>
              <w:t>Отложено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Скрыт из интерфейса по решению Заказчика.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vAlign w:val="top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6"/>
              </w:rPr>
              <w:t>Не включать в текущую приёмку.</w:t>
            </w:r>
          </w:p>
        </w:tc>
      </w:tr>
    </w:tbl>
    <w:p>
      <w:pPr>
        <w:spacing w:after="0"/>
      </w:pPr>
    </w:p>
    <w:p>
      <w:pPr>
        <w:pStyle w:val="Heading1"/>
      </w:pPr>
      <w:r>
        <w:t>8. Приоритетный план доведения</w:t>
      </w:r>
    </w:p>
    <w:p>
      <w:pPr>
        <w:pStyle w:val="Heading2"/>
      </w:pPr>
      <w:r>
        <w:t>P0 — данные и бизнес-настройки</w:t>
      </w:r>
    </w:p>
    <w:p>
      <w:pPr>
        <w:pStyle w:val="ListNumber"/>
      </w:pPr>
      <w:r>
        <w:rPr>
          <w:rFonts w:ascii="Calibri" w:hAnsi="Calibri" w:eastAsia="Calibri"/>
        </w:rPr>
        <w:t>Оставить в панели ровно 11 воронок и привязать каждую к юрлицу и SLA; подтвердить «Заключение Контракта».</w:t>
      </w:r>
    </w:p>
    <w:p>
      <w:pPr>
        <w:pStyle w:val="ListNumber"/>
      </w:pPr>
      <w:r>
        <w:rPr>
          <w:rFonts w:ascii="Calibri" w:hAnsi="Calibri" w:eastAsia="Calibri"/>
        </w:rPr>
        <w:t>Добавить в webhook Bitrix24 права на чтение пользователей/активностей; заполнить сотрудников и отделы.</w:t>
      </w:r>
    </w:p>
    <w:p>
      <w:pPr>
        <w:pStyle w:val="ListNumber"/>
      </w:pPr>
      <w:r>
        <w:rPr>
          <w:rFonts w:ascii="Calibri" w:hAnsi="Calibri" w:eastAsia="Calibri"/>
        </w:rPr>
        <w:t>Проверить боевую выгрузку 1С и разобрать журнал исключений/несопоставленных поступлений.</w:t>
      </w:r>
    </w:p>
    <w:p>
      <w:pPr>
        <w:pStyle w:val="ListNumber"/>
      </w:pPr>
      <w:r>
        <w:rPr>
          <w:rFonts w:ascii="Calibri" w:hAnsi="Calibri" w:eastAsia="Calibri"/>
        </w:rPr>
        <w:t>Заполнить Direct-логины и ID счётчиков для трёх юрлиц; запустить и сверить загрузку.</w:t>
      </w:r>
    </w:p>
    <w:p>
      <w:pPr>
        <w:pStyle w:val="ListNumber"/>
      </w:pPr>
      <w:r>
        <w:rPr>
          <w:rFonts w:ascii="Calibri" w:hAnsi="Calibri" w:eastAsia="Calibri"/>
        </w:rPr>
        <w:t>Внести начальные планы после доработки модели план-факта.</w:t>
      </w:r>
    </w:p>
    <w:p>
      <w:pPr>
        <w:pStyle w:val="Heading2"/>
      </w:pPr>
      <w:r>
        <w:t>P1 — недостающая логика ТЗ</w:t>
      </w:r>
    </w:p>
    <w:p>
      <w:pPr>
        <w:pStyle w:val="ListNumber"/>
      </w:pPr>
      <w:r>
        <w:rPr>
          <w:rFonts w:ascii="Calibri" w:hAnsi="Calibri" w:eastAsia="Calibri"/>
        </w:rPr>
        <w:t>Выгружать историю стадий, звонки и встречи; заполнять first_contact_at/stage_entered_at и SLA-факты.</w:t>
      </w:r>
    </w:p>
    <w:p>
      <w:pPr>
        <w:pStyle w:val="ListNumber"/>
      </w:pPr>
      <w:r>
        <w:rPr>
          <w:rFonts w:ascii="Calibri" w:hAnsi="Calibri" w:eastAsia="Calibri"/>
        </w:rPr>
        <w:t>Добавить в общую панель фильтр воронки и пересчёт конверсий по истории.</w:t>
      </w:r>
    </w:p>
    <w:p>
      <w:pPr>
        <w:pStyle w:val="ListNumber"/>
      </w:pPr>
      <w:r>
        <w:rPr>
          <w:rFonts w:ascii="Calibri" w:hAnsi="Calibri" w:eastAsia="Calibri"/>
        </w:rPr>
        <w:t>Завершить план-факт компании/отдела/сотрудника по продажам, звонкам и встречам.</w:t>
      </w:r>
    </w:p>
    <w:p>
      <w:pPr>
        <w:pStyle w:val="ListNumber"/>
      </w:pPr>
      <w:r>
        <w:rPr>
          <w:rFonts w:ascii="Calibri" w:hAnsi="Calibri" w:eastAsia="Calibri"/>
        </w:rPr>
        <w:t>Реализовать ожидаемые оплаты, две средние суммы, цикл сделки, менеджерские и отдельские KPI.</w:t>
      </w:r>
    </w:p>
    <w:p>
      <w:pPr>
        <w:pStyle w:val="ListNumber"/>
      </w:pPr>
      <w:r>
        <w:rPr>
          <w:rFonts w:ascii="Calibri" w:hAnsi="Calibri" w:eastAsia="Calibri"/>
        </w:rPr>
        <w:t>Добавить RBAC и скрытие финансов для роли менеджера; построчные AI-комментарии.</w:t>
      </w:r>
    </w:p>
    <w:p>
      <w:pPr>
        <w:pStyle w:val="Heading1"/>
      </w:pPr>
      <w:r>
        <w:t>9. Приёмка нового блока расходов</w:t>
      </w:r>
    </w:p>
    <w:p>
      <w:pPr>
        <w:pStyle w:val="ListBullet"/>
      </w:pPr>
      <w:r>
        <w:rPr>
          <w:rFonts w:ascii="Calibri" w:hAnsi="Calibri" w:eastAsia="Calibri"/>
        </w:rPr>
        <w:t>В «Настройки → Расходы» создаётся запись с датой, юрлицом, статьёй и положительной суммой.</w:t>
      </w:r>
    </w:p>
    <w:p>
      <w:pPr>
        <w:pStyle w:val="ListBullet"/>
      </w:pPr>
      <w:r>
        <w:rPr>
          <w:rFonts w:ascii="Calibri" w:hAnsi="Calibri" w:eastAsia="Calibri"/>
        </w:rPr>
        <w:t>Строка удаляется из журнала только после подтверждения.</w:t>
      </w:r>
    </w:p>
    <w:p>
      <w:pPr>
        <w:pStyle w:val="ListBullet"/>
      </w:pPr>
      <w:r>
        <w:rPr>
          <w:rFonts w:ascii="Calibri" w:hAnsi="Calibri" w:eastAsia="Calibri"/>
        </w:rPr>
        <w:t>Общий расход виден в «Расходах по статьям» за выбранные период и юрлицо.</w:t>
      </w:r>
    </w:p>
    <w:p>
      <w:pPr>
        <w:pStyle w:val="ListBullet"/>
      </w:pPr>
      <w:r>
        <w:rPr>
          <w:rFonts w:ascii="Calibri" w:hAnsi="Calibri" w:eastAsia="Calibri"/>
        </w:rPr>
        <w:t>В ROMI попадает только ручная строка с флагом «Учитывать в ROMI»; для неё канал обязателен.</w:t>
      </w:r>
    </w:p>
    <w:p>
      <w:pPr>
        <w:pStyle w:val="ListBullet"/>
      </w:pPr>
      <w:r>
        <w:rPr>
          <w:rFonts w:ascii="Calibri" w:hAnsi="Calibri" w:eastAsia="Calibri"/>
        </w:rPr>
        <w:t>Загруженный расход Директа появляется автоматически как отдельная статья; он не вводится вручную.</w:t>
      </w:r>
    </w:p>
    <w:p>
      <w:pPr>
        <w:pStyle w:val="ListBullet"/>
      </w:pPr>
      <w:r>
        <w:rPr>
          <w:rFonts w:ascii="Calibri" w:hAnsi="Calibri" w:eastAsia="Calibri"/>
        </w:rPr>
        <w:t>При отсутствии расходов или связанной выручки ROMI не выдумывает число, а показывает пустое состояние.</w:t>
      </w:r>
    </w:p>
    <w:p>
      <w:pPr>
        <w:pStyle w:val="Heading1"/>
      </w:pPr>
      <w:r>
        <w:t>10. Техническая карта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Дашборд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frontend/src/pages/DashboardPage.tsx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Журнал расходов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frontend/src/pages/BusinessSettingsPage.tsx → вкладка «Расходы»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API расходов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GET/POST /api/admin/expenses; PUT/DELETE /api/admin/expenses/{id}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Агрегация статей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GET /api/dashboard/expenses-by-article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ROMI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GET /api/romi/by-channel; backend/app/services/analytics.py; channels.py; metrics.py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Модель БД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manual_expenses; Alembic 0009_manual_expenses.py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Настройки бизнеса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GET/PUT /api/admin/business-settings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Интеграции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GET/PUT /api/integrations/settings; /test/*; /bitrix/funnels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315E86"/>
                <w:sz w:val="18"/>
              </w:rPr>
              <w:t>Документация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docs/ADMIN.md, DB_SCHEMA.md, ROMI_METHODOLOGY.md, ACCEPTANCE_CHECKLIST.md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top w:val="single" w:sz="1" w:color="F2F4F7"/>
              <w:left w:val="single" w:sz="1" w:color="F2F4F7"/>
              <w:bottom w:val="single" w:sz="1" w:color="F2F4F7"/>
              <w:right w:val="single" w:sz="1" w:color="F2F4F7"/>
              <w:insideH w:val="single" w:sz="1" w:color="F2F4F7"/>
              <w:insideV w:val="single" w:sz="1" w:color="F2F4F7"/>
            </w:tcBorders>
            <w:shd w:fill="F2F4F7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315E86"/>
                <w:sz w:val="21"/>
              </w:rPr>
              <w:t>Граница вывода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color w:val="1F2937"/>
                <w:sz w:val="19"/>
              </w:rPr>
              <w:t>Отчёт отражает состояние кода и production на 03.09.2026. Пункты со статусом «Требует настройки» не считаются принятыми до появления боевых фактов; «Частично» и «Не реализовано» требуют доработки до финальной приёмки.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7"/>
      </w:rPr>
      <w:t xml:space="preserve">Конфиденциально  ·  03.09.2026  ·  </w:t>
    </w:r>
    <w:r>
      <w:rPr>
        <w:rFonts w:ascii="Calibri" w:hAnsi="Calibri" w:eastAsia="Calibri"/>
        <w:color w:val="667085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667085"/>
        <w:sz w:val="17"/>
      </w:rPr>
      <w:t>LAWYER  /  АУДИТ ТЕХНИЧЕСКОГО ЗАДАНИЯ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315E8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315E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315E8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Calibri" w:hAnsi="Calibri" w:eastAsia="Calibr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Lawyer — отчёт о соответствии ТЗ</dc:title>
  <dc:subject>Сверка ТЗ, production и исходного кода</dc:subject>
  <dc:creator>Lawyer</dc:creator>
  <cp:keywords>Lawyer, ТЗ, аудит, Bitrix24, 1С, ROMI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