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4"/>
          <w:szCs w:val="34"/>
        </w:rPr>
        <w:t xml:space="preserve">ТЕХНИЧЕСКОЕ ЗАДАНИЕ</w:t>
      </w:r>
    </w:p>
    <w:p>
      <w:pPr>
        <w:spacing w:after="120"/>
        <w:jc w:val="center"/>
      </w:pPr>
      <w:r>
        <w:rPr>
          <w:color w:val="595959"/>
          <w:sz w:val="24"/>
          <w:szCs w:val="24"/>
        </w:rPr>
        <w:t xml:space="preserve">на разработку и внедрение AI-системы контроля лидов и маркетинговой аналитики для Lawyer (Этап 1)</w:t>
      </w:r>
    </w:p>
    <w:p>
      <w:pPr>
        <w:pBdr>
          <w:top w:val="single" w:color="2E75B6" w:sz="6" w:space="6"/>
          <w:bottom w:val="single" w:color="2E75B6" w:sz="6" w:space="6"/>
        </w:pBdr>
        <w:spacing w:after="40"/>
        <w:jc w:val="center"/>
      </w:pPr>
      <w:r>
        <w:rPr>
          <w:sz w:val="20"/>
          <w:szCs w:val="20"/>
        </w:rPr>
        <w:t xml:space="preserve">Приложение № 1 к Договору № ______ от «____» июля 2026 г.   ·   Редакция 2</w:t>
      </w:r>
    </w:p>
    <w:p>
      <w:pPr>
        <w:spacing w:after="240"/>
      </w:pPr>
      <w:r>
        <w:rPr>
          <w:sz w:val="12"/>
          <w:szCs w:val="12"/>
        </w:rPr>
        <w:t xml:space="preserve"/>
      </w:r>
    </w:p>
    <w:p>
      <w:pPr>
        <w:pStyle w:val="Heading1"/>
      </w:pPr>
      <w:r>
        <w:t xml:space="preserve">1. Общие сведения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Наименование работ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Разработка и внедрение AI-системы контроля лидов и маркетинговой аналитики для Lawyer (Этап 1)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Lawyer (реквизиты — по договору)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ИП Покровский Андрей Васильевич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Основание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Договор возмездного оказания услуг. Настоящее ТЗ является неотъемлемым приложением к договору.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Место выполнения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Удалённо.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Назначение и цели</w:t>
      </w:r>
    </w:p>
    <w:p>
      <w:pPr>
        <w:spacing w:after="120" w:line="272"/>
      </w:pPr>
      <w:r>
        <w:rPr>
          <w:b/>
          <w:bCs/>
        </w:rPr>
        <w:t xml:space="preserve">Назначение системы. </w:t>
      </w:r>
      <w:r>
        <w:t xml:space="preserve">Автоматизированный контроль обработки лидов и сделок в соответствии с регламентом Заказчика и сквозная маркетинговая аналитика на основе данных из CRM, рекламных систем, веб-аналитики, телефонии и учётной системы.</w:t>
      </w:r>
    </w:p>
    <w:p>
      <w:pPr>
        <w:spacing w:after="60"/>
      </w:pPr>
      <w:r>
        <w:rPr>
          <w:b/>
          <w:bCs/>
        </w:rPr>
        <w:t xml:space="preserve">Цели: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контроль соблюдения регламента ведения воронки в Битрикс24 в реальном времени, с настраиваемыми сроками и правилами;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выявление просрочек реакции, зависших и необработанных заявок, сделок без повторного касания и без задач;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постановка задач ответственным менеджерам по согласованной логике;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связывание рекламы, визитов, звонков, сделок и оплат в единую сквозную аналитику по деньгам (выручка, маржа), а не по стоимости лида или клика;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расчёт ROMI по каналам и кампаниям, формирование рекомендаций по бюджету и минус-словам;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единый дашборд с визуализацией ключевых показателей.</w:t>
      </w:r>
    </w:p>
    <w:p>
      <w:pPr>
        <w:pStyle w:val="Heading1"/>
      </w:pPr>
      <w:r>
        <w:t xml:space="preserve">3. Состав и требования к функциональности</w:t>
      </w:r>
    </w:p>
    <w:p>
      <w:pPr>
        <w:pStyle w:val="Heading2"/>
      </w:pPr>
      <w:r>
        <w:t xml:space="preserve">3.1. Мониторинг Битрикс24 в реальном времени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отслеживание лидов и сделок в Битрикс24 в режиме реального времени через API и вебхуки;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контроль соблюдения регламента Заказчика по времени реакции на каждом этапе воронки;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выявление просрочек первого контакта, зависших сделок, лидов без повторного касания, сделок без движения по статусам дольше норматива и сделок без задач;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контроль заполнения обязательных полей карточки;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контроль дублей по согласованному правилу;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формирование признаков (меток) проблемных сделок для отображения в дашборде;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создание задач ответственным на основании выявленных просрочек и нарушений — по согласованной логике (триггер, адресат, текст, срок). Требует прав на запись в Битрикс24.</w:t>
      </w:r>
    </w:p>
    <w:p>
      <w:pPr>
        <w:spacing w:after="120" w:line="272"/>
      </w:pPr>
      <w:r>
        <w:rPr>
          <w:i/>
          <w:iCs/>
          <w:color w:val="595959"/>
          <w:sz w:val="19"/>
          <w:szCs w:val="19"/>
        </w:rPr>
        <w:t xml:space="preserve">Оценочные нарушения регламента (перевод живой сделки в «Спам», отказ «для чистоты воронки») автоматической классификации не поддаются. Система фиксирует факт и подсвечивает подозрительные случаи; решение принимает руководитель.</w:t>
      </w:r>
    </w:p>
    <w:p>
      <w:pPr>
        <w:pStyle w:val="Heading2"/>
      </w:pPr>
      <w:r>
        <w:t xml:space="preserve">3.2. Админ-панель настройки регламента</w:t>
      </w:r>
    </w:p>
    <w:p>
      <w:pPr>
        <w:spacing w:after="60"/>
      </w:pPr>
      <w:r>
        <w:t xml:space="preserve">Веб-интерфейс, позволяющий Заказчику самостоятельно изменять параметры контроля без участия Исполнителя: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пороговые значения сроков по каждому этапу воронки (15 минут, 1 рабочий день, 5 дней и т. д.);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правила по задачам: на каких этапах отсутствие задачи считается нарушением;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перечень обязательных полей карточки;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рабочий график и производственный календарь для нормативов, исчисляемых в рабочем времени;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параметры логики создания задач;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правило определения дублей.</w:t>
      </w:r>
    </w:p>
    <w:p>
      <w:pPr>
        <w:pStyle w:val="Heading2"/>
      </w:pPr>
      <w:r>
        <w:t xml:space="preserve">3.3. Единый дашборд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веб-интерфейс с визуализацией показателей;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блок обработки лидов: лиды за день и период, источник, менеджер, статус, время первого контакта, был ли звонок, был ли счёт, была ли оплата, сумма, причина отказа, просрочка, комментарий AI;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блок рекламы и денег: лиды, продажи, выручка, маржа, ROMI по каналам и кампаниям;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визуализация цепочки «реклама → визит → звонок → сделка → оплата → маржа» в двух видах: сводная таблица по каналам и кампаниям и детализация с проваливанием до конкретных сделок;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фильтрация по периоду, каналу, кампании, менеджеру и источнику.</w:t>
      </w:r>
    </w:p>
    <w:p>
      <w:pPr>
        <w:pStyle w:val="Heading2"/>
      </w:pPr>
      <w:r>
        <w:t xml:space="preserve">3.4. Сквозная аналитика</w:t>
      </w:r>
    </w:p>
    <w:p>
      <w:pPr>
        <w:spacing w:after="60"/>
      </w:pPr>
      <w:r>
        <w:t xml:space="preserve">Связывание данных из следующих источников в единую цепочку «реклама → визит → обращение → сделка → оплата → маржа»: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Яндекс Директ — расходы, клики, показы, кампании, поисковые запросы;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Яндекс Метрика — визиты, источники и UTM-метки, достижение целей и конверсии на сайте;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Calltouch — звонки, записи, атрибуция источников;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Битрикс24 — лиды, сделки, статусы, менеджеры;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оплаты — источник факта оплаты согласуется сторонами (Битрикс24 и/или МойСклад);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МойСклад — себестоимость и маржа по товарам и брендам.</w:t>
      </w:r>
    </w:p>
    <w:p>
      <w:pPr>
        <w:spacing w:after="120" w:line="272"/>
      </w:pPr>
      <w:r>
        <w:t xml:space="preserve">Результат: расчёт по каждому каналу и кампании количества лидов, продаж, выручки и маржи с атрибуцией продажи к источнику и кампании.</w:t>
      </w:r>
    </w:p>
    <w:p>
      <w:pPr>
        <w:spacing w:after="120" w:line="272"/>
      </w:pPr>
      <w:r>
        <w:rPr>
          <w:i/>
          <w:iCs/>
          <w:color w:val="595959"/>
          <w:sz w:val="19"/>
          <w:szCs w:val="19"/>
        </w:rPr>
        <w:t xml:space="preserve">Атрибуция звонков и рекламных данных в Calltouch обновляется со сдвигом до одних суток. Режим реального времени относится к мониторингу Битрикс24; маркетинговая аналитика пересчитывается по расписанию.</w:t>
      </w:r>
    </w:p>
    <w:p>
      <w:pPr>
        <w:pStyle w:val="Heading2"/>
      </w:pPr>
      <w:r>
        <w:t xml:space="preserve">3.5. ROMI, рекомендации по бюджету и минус-словам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расчёт ROMI по каналам и кампаниям на основе данных сквозной аналитики;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рекомендации по перераспределению рекламного бюджета в результативные кампании;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анализ поисковых запросов и автоматическое формирование списка минус-слов по заданным правилам.</w:t>
      </w:r>
    </w:p>
    <w:p>
      <w:pPr>
        <w:spacing w:after="120" w:line="272"/>
      </w:pPr>
      <w:r>
        <w:rPr>
          <w:i/>
          <w:iCs/>
          <w:color w:val="595959"/>
          <w:sz w:val="19"/>
          <w:szCs w:val="19"/>
        </w:rPr>
        <w:t xml:space="preserve">Система формирует рекомендации и списки; внесение изменений в рекламный кабинет выполняется Заказчиком. В объём Этапа 1 не входит применение минус-слов, изменение бюджетов, ставок и состава кампаний на стороне Яндекс Директа. Автоматическое применение может быть подключено на последующем этапе после подтверждения точности рекомендаций на данных Заказчика.</w:t>
      </w:r>
    </w:p>
    <w:p>
      <w:pPr>
        <w:pStyle w:val="Heading2"/>
      </w:pPr>
      <w:r>
        <w:t xml:space="preserve">3.6. AI-слой</w:t>
      </w:r>
    </w:p>
    <w:p>
      <w:pPr>
        <w:spacing w:after="60"/>
      </w:pPr>
      <w:r>
        <w:t xml:space="preserve">Модели используются на слое интерпретации и рекомендаций; расчёт метрик, контроль сроков и атрибуция выполняются детерминированной логикой без применения LLM. В объём Этапа 1 входит: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формирование рекомендаций по перераспределению рекламного бюджета;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анализ поисковых запросов и формирование списка минус-слов;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текстовые пояснения к показателям дашборда (причины просадки канала, точки внимания);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комментарий AI по лиду или сделке в блоке обработки лидов;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комментарии AI по событиям и действиям, значимым для бизнес-процессов Заказчика: подсветка закономерностей, отклонений и рисков, которые не видны из обычных статистических показателей — нетипичное поведение по сделкам, каналам и менеджерам, скрытые причины потери заявок, точки, требующие управленческого внимания.</w:t>
      </w:r>
    </w:p>
    <w:p>
      <w:pPr>
        <w:spacing w:after="120" w:line="272"/>
      </w:pPr>
      <w:r>
        <w:t xml:space="preserve">Вызовы модели выполняются по расписанию в рамках пересчёта аналитики, а не на каждое событие. Выбор модели и юрисдикции согласуется сторонами (см. раздел 7).</w:t>
      </w:r>
    </w:p>
    <w:p>
      <w:pPr>
        <w:spacing w:after="120" w:line="272"/>
      </w:pPr>
      <w:r>
        <w:rPr>
          <w:i/>
          <w:iCs/>
          <w:color w:val="595959"/>
          <w:sz w:val="19"/>
          <w:szCs w:val="19"/>
        </w:rPr>
        <w:t xml:space="preserve">Оценка качества звонков, мультиагентная логика и ежедневные сводные AI-отчёты в объём Этапа 1 не входят и оцениваются отдельно.</w:t>
      </w:r>
    </w:p>
    <w:p>
      <w:pPr>
        <w:pStyle w:val="Heading1"/>
      </w:pPr>
      <w:r>
        <w:t xml:space="preserve">4. Методика расчётов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базовая формула расчёта ROMI, выручки и маржи и модель атрибуции сделки к источнику фиксируются приложением к настоящему ТЗ до начала работ по Этапу 1;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полная методика (частичные оплаты, возвраты, скидки, доставка, разные способы оплаты, расходы Директа с НДС и без НДС) фиксируется отдельным документом по результатам разведки данных, до сдачи работ;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расходы Яндекс Директа приводятся к единой базе НДС (в API Директа — с НДС, в Метрике — без НДС);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маржа по брендам формируется агрегированием прибыльности товаров по бренду при условии его разметки в МойСклад;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показатели, рассчитанные по методике, визуализируются на дашборде.</w:t>
      </w:r>
    </w:p>
    <w:p>
      <w:pPr>
        <w:pStyle w:val="Heading1"/>
      </w:pPr>
      <w:r>
        <w:t xml:space="preserve">5. Технологический стек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Фронтенд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React 18 + TypeScript, сборка Vite; библиотека компонентов Ant Design 5; графики Apache ECharts; TanStack Query, React Router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Бэкенд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Python 3.12, FastAPI, uvicorn/gunicorn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База данных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Планировщик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APScheduler (регулярные выгрузки и пересчёт аналитики)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Веб-сервер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nginx, HTTPS, TLS 1.2+, сертификат Let's Encrypt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Лицензии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Все используемые библиотеки и компоненты распространяются по лицензиям MIT и Apache 2.0. Лицензионные платежи отсутствуют.</w:t>
            </w:r>
          </w:p>
        </w:tc>
      </w:tr>
    </w:tbl>
    <w:p>
      <w:pPr>
        <w:spacing w:after="60"/>
      </w:pPr>
    </w:p>
    <w:p>
      <w:pPr>
        <w:spacing w:after="120" w:line="272"/>
      </w:pPr>
      <w:r>
        <w:t xml:space="preserve">Стек является общераспространённым: сопровождение и развитие системы возможно силами любого разработчика уровня React + Python без переобучения и без обращения к Исполнителю.</w:t>
      </w:r>
    </w:p>
    <w:p>
      <w:pPr>
        <w:pStyle w:val="Heading1"/>
      </w:pPr>
      <w:r>
        <w:t xml:space="preserve">6. Интеграции и источники данных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Данные, методы и режим обращения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Битрикс24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 и вебхуки: лиды, сделки, воронки, статусы, история стадий, менеджеры, задачи, временные метки событий. Режим: реальное время (вебхуки) + периодическая сверка.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Яндекс Директ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Reports API: кампании, расходы, клики, показы, поисковые запросы. Режим: по расписанию, не чаще необходимого.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Яндекс Метрика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API: визиты, источники и UTM-метки, достижение целей, конверсии. Режим: по расписанию.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Calltouch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API: звонки, записи, атрибуция источников, заявки. Режим: по расписанию, с учётом суточных лимитов и постраничной выгрузки.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МойСклад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JSON API 1.2. Методы: entity/product, entity/productfolder, entity/assortment (номенклатура, папки и бренды, себестоимость), report/profit/byproduct (прибыльность и себестоимость за период). Используются только групповые запросы с expand; индивидуальные запросы по Id сущности не применяются. Режим: справочники — один раз в сутки в согласованное ночное окно либо точечно по вебхуку об изменении; отчёт прибыльности — на ночном пересчёте аналитики. Соблюдаются ограничения API: не более 100 запросов за 5 секунд, не более 5 параллельных запросов, keep-alive, постраничная выгрузка.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Оплаты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Факт и сумма оплаты берутся из Битрикс24 и/или МойСклад. Прямая интеграция с платёжными шлюзами (Альфа, Сбербанк) выполняется только в случае, если часть оплат не фиксируется в указанных системах, и согласуется отдельно.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Требования к инфраструктуре и безопасности</w:t>
      </w:r>
    </w:p>
    <w:p>
      <w:pPr>
        <w:pStyle w:val="Heading2"/>
      </w:pPr>
      <w:r>
        <w:t xml:space="preserve">7.1. Сервер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Операционная система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Linux, Ubuntu 22.04 LTS или 24.04 LTS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CPU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2–4 vCPU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RAM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 ГБ (минимально допустимо 4 ГБ)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SSD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60–80 ГБ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GPU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не требуется (модели используются через облачный API)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Размещение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приоритет — территория РФ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Предоставляет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Заказчик (сервер с root/SSH-доступом)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Разворачивает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Исполнитель: nginx, SSL-сертификат, сервисы, БД, резервное копирование</w:t>
            </w:r>
          </w:p>
        </w:tc>
      </w:tr>
    </w:tbl>
    <w:p>
      <w:pPr>
        <w:spacing w:after="60"/>
      </w:pPr>
    </w:p>
    <w:p>
      <w:pPr>
        <w:spacing w:after="120" w:line="272"/>
      </w:pPr>
      <w:r>
        <w:rPr>
          <w:i/>
          <w:iCs/>
          <w:color w:val="595959"/>
          <w:sz w:val="19"/>
          <w:szCs w:val="19"/>
        </w:rPr>
        <w:t xml:space="preserve">Финальная спецификация подтверждается после получения от Заказчика данных об объёмах МойСклад и выбора модели LLM. Размещение LLM или транскрибации локально (без облачного API) в объём Этапа 1 не входит и потребует сервера с GPU.</w:t>
      </w:r>
    </w:p>
    <w:p>
      <w:pPr>
        <w:pStyle w:val="Heading2"/>
      </w:pPr>
      <w:r>
        <w:t xml:space="preserve">7.2. Безопасность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весь обмен с внешними системами — исключительно по HTTPS, TLS 1.2 и выше, с обязательной проверкой сертификата;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входящие вебхуки принимаются только по HTTPS на домен с валидным сертификатом, с проверкой подписи либо секретного токена;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доступ к дашборду и админ-панели — по HTTPS;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токены и секреты хранятся в переменных окружения, в исходный код и репозиторий не помещаются; доступ к серверу — по SSH-ключу;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в доверенное хранилище сервера устанавливаются корневой и выпускающий сертификаты НУЦ Минцифры (Russian Trusted CA), необходимые для работы с API российских банков и сервисов;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карточные данные, номера карт, CVV и платёжные реквизиты системой не обрабатываются и не хранятся; система получает только факт, сумму и статус платежа. В периметр PCI DSS система не входит;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персональные данные обрабатываются в объёме, необходимом для работы системы, и не передаются третьим лицам сверх используемых интеграций.</w:t>
      </w:r>
    </w:p>
    <w:p>
      <w:pPr>
        <w:pStyle w:val="Heading2"/>
      </w:pPr>
      <w:r>
        <w:t xml:space="preserve">7.3. Операционные расходы</w:t>
      </w:r>
    </w:p>
    <w:p>
      <w:pPr>
        <w:spacing w:after="120" w:line="272"/>
      </w:pPr>
      <w:r>
        <w:t xml:space="preserve">Расходы на хостинг, вызовы LLM и (на последующих этапах) транскрибацию несёт Заказчик. Ориентир по бюджету предоставляется Исполнителем после выбора модели и подтверждения объёмов.</w:t>
      </w:r>
    </w:p>
    <w:p>
      <w:pPr>
        <w:pStyle w:val="Heading1"/>
      </w:pPr>
      <w:r>
        <w:t xml:space="preserve">8. Требования к доступам и регистрация приложений</w:t>
      </w:r>
    </w:p>
    <w:p>
      <w:pPr>
        <w:spacing w:after="120" w:line="272"/>
      </w:pPr>
      <w:r>
        <w:t xml:space="preserve">Пункты, отмеченные знаком «!», требуют действий Заказчика заранее, так как оформляются не мгновенно.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26"/>
        <w:gridCol w:w="280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требуется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Где оформить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Битрикс24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Вебхук или локальное приложение с правами на чтение CRM и на запись задач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Портал Заказчика: «Разработчикам» → вебхуки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! </w:t>
            </w:r>
            <w:r>
              <w:rPr>
                <w:b/>
                <w:bCs/>
              </w:rPr>
              <w:t xml:space="preserve">Яндекс Директ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Регистрация приложения (OAuth) и заявка на доступ к API Директа. Одобрение занимает время.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Приложение: oauth.yandex.ru/client/new. Заявка: кабинет Директа → Инструменты → API → «Мои заявки»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Яндекс Метрика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OAuth-токен; права на счётчик «Просмотр» или выше; привязка счётчика к кампаниям Директа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Тот же OAuth-кабинет (возможно одно приложение с Директом)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Calltouch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API-токен (clientApiId) профессиональной версии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Личный кабинет Calltouch → интеграции / API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! </w:t>
            </w:r>
            <w:r>
              <w:rPr>
                <w:b/>
                <w:bCs/>
              </w:rPr>
              <w:t xml:space="preserve">МойСклад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Токен доступа к JSON API 1.2 у сотрудника с правом «Видеть себестоимость, цену закупки и прибыль товаров». Без этого права поля себестоимости и прибыли в API отсутствуют.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МойСклад: профиль сотрудника → токен доступа; роль — раздел «Сотрудники»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8.1. Критичные действия Заказчика до старта</w:t>
      </w:r>
    </w:p>
    <w:p>
      <w:pPr>
        <w:spacing w:after="60"/>
      </w:pPr>
      <w:r>
        <w:t xml:space="preserve">Отсутствие любого из пунктов останавливает соответствующую часть работ и пропорционально сдвигает срок: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подать заявку на доступ к API Яндекс Директа</w:t>
      </w:r>
      <w:r>
        <w:t xml:space="preserve"> — оформить в первый день;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выдать доступ к МойСклад с правом видеть себестоимость и прибыль;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определить источник факта оплаты</w:t>
      </w:r>
      <w:r>
        <w:t xml:space="preserve"> — Битрикс24 / МойСклад / платёжный шлюз;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подтвердить разметку брендов в МойСклад</w:t>
      </w:r>
      <w:r>
        <w:t xml:space="preserve"> (папка, группа или атрибут);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выбрать модель LLM и юрисдикцию</w:t>
      </w:r>
      <w:r>
        <w:t xml:space="preserve"> — от этого зависят конфигурация и операционные расходы;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предоставить рабочий график и производственный календарь</w:t>
      </w:r>
      <w:r>
        <w:t xml:space="preserve">, подтвердить, где фиксируются попытки дозвона и переписка в WhatsApp, согласовать правило определения дублей.</w:t>
      </w:r>
    </w:p>
    <w:p>
      <w:pPr>
        <w:pStyle w:val="Heading1"/>
      </w:pPr>
      <w:r>
        <w:t xml:space="preserve">9. Предоставляется Заказчиком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доступы к API и учётным записям систем из разделов 6 и 8;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сервер в соответствии с п. 7.1;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действующий регламент ведения CRM и нормативы времени реакции;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перечень приоритетных типов сделок для контроля;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контактное лицо и специалист по МойСклад для согласования выгрузок;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данные об объёмах (номенклатура, количество заказов) для подтверждения спецификации сервера.</w:t>
      </w:r>
    </w:p>
    <w:p>
      <w:pPr>
        <w:spacing w:after="120" w:line="272"/>
      </w:pPr>
      <w:r>
        <w:rPr>
          <w:i/>
          <w:iCs/>
          <w:color w:val="595959"/>
          <w:sz w:val="19"/>
          <w:szCs w:val="19"/>
        </w:rPr>
        <w:t xml:space="preserve">Срок выполнения работ отсчитывается с момента предоставления доступов и поступления соответствующего платежа. Задержка предоставления доступов пропорционально сдвигает срок.</w:t>
      </w:r>
    </w:p>
    <w:p>
      <w:pPr>
        <w:pStyle w:val="Heading1"/>
      </w:pPr>
      <w:r>
        <w:t xml:space="preserve">10. Этапы и сроки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626"/>
        <w:gridCol w:w="170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Работы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Визуальный макет системы на демонстрационных данных. </w:t>
            </w:r>
            <w:r>
              <w:rPr>
                <w:sz w:val="20"/>
                <w:szCs w:val="20"/>
              </w:rPr>
              <w:t xml:space="preserve">Прототип дашборда и админ-панели на основе настоящего ТЗ, с мок-данными, а также образцы AI-рекомендаций. Передаётся в виде развёрнутого интерактивного прототипа. Цель — согласовать состав показателей и визуальное решение до начала разработки.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3–5 раб. дней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Подключение доступов, настройка интеграций с источниками данных (Битрикс24, Директ, Метрика, Calltouch, МойСклад, оплаты)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3–5 дней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Модуль мониторинга Битрикс24 в реальном времени, логика регламента, админ-панель настройки, создание задач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4–6 дней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Сквозная аналитика, расчёт ROMI, AI-слой рекомендаций, единый дашборд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4–6 дней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Тестирование и отладка на реальных данных, развёртывание, сдача-приёмка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2–3 дня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Этап 0 — 3–5 рабочих дней; Этапы 1–4 — 2–3 недели с момента предоставления доступов и оплаты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3–4 недели</w:t>
            </w:r>
          </w:p>
        </w:tc>
      </w:tr>
    </w:tbl>
    <w:p>
      <w:pPr>
        <w:spacing w:after="60"/>
      </w:pPr>
    </w:p>
    <w:p>
      <w:pPr>
        <w:spacing w:after="120" w:line="272"/>
      </w:pPr>
      <w:r>
        <w:rPr>
          <w:i/>
          <w:iCs/>
          <w:color w:val="595959"/>
          <w:sz w:val="19"/>
          <w:szCs w:val="19"/>
        </w:rPr>
        <w:t xml:space="preserve">Согласование макета по итогам Этапа 0 проводится в один раунд правок в пределах согласованного объёма и не приостанавливает работы по Этапам 1–4. Изменение состава работ оформляется дополнительным соглашением.</w:t>
      </w:r>
    </w:p>
    <w:p>
      <w:pPr>
        <w:pStyle w:val="Heading1"/>
      </w:pPr>
      <w:r>
        <w:t xml:space="preserve">11. Порядок сдачи-приёмки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программа и методика испытаний (чек-лист приёмки) составляется сторонами совместно до начала работ по Этапу 1 и является приложением к настоящему ТЗ;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по завершении работ Исполнитель предоставляет работающую систему и уведомляет Заказчика о готовности к приёмке;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Заказчик в течение 5 (пяти) рабочих дней проверяет результат и подписывает акт либо направляет мотивированные замечания в письменном виде;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при отсутствии мотивированных замечаний в указанный срок работы считаются принятыми, а акт — подписанным;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основанием для отказа от приёмки является несоответствие функциональности разделу 3 настоящего ТЗ, подтверждённое чек-листом приёмки;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не являются основанием для отказа от приёмки: субъективная оценка визуального оформления в пределах согласованного на Этапе 0 макета; недоступность или некорректность данных на стороне источников; отсутствие или ограничение доступов на стороне Заказчика; требования, выходящие за объём настоящего ТЗ.</w:t>
      </w:r>
    </w:p>
    <w:p>
      <w:pPr>
        <w:pStyle w:val="Heading1"/>
      </w:pPr>
      <w:r>
        <w:t xml:space="preserve">12. Стоимость и порядок оплаты</w:t>
      </w:r>
    </w:p>
    <w:p>
      <w:pPr>
        <w:spacing w:after="120" w:line="272"/>
      </w:pPr>
      <w:r>
        <w:rPr>
          <w:b/>
          <w:bCs/>
        </w:rPr>
        <w:t xml:space="preserve">Общая стоимость работ по Этапу 1: 243 000 ₽. </w:t>
      </w:r>
      <w:r>
        <w:t xml:space="preserve">НДС не облагается в связи с применением Исполнителем УСН.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26"/>
        <w:gridCol w:w="180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Платёж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Сумма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1. Предоплата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При подписании договора. Обеспечивает выполнение Этапа 0 (визуальный макет на демонстрационных данных).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15 000 ₽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2. Аванс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По факту передачи макета и начала основных работ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55 000 ₽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3. Промежуточный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По факту демонстрации работающего мониторинга Битрикс24 на данных Заказчика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86 500 ₽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4. Финальный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По завершении работ и подписании акта сдачи-приёмки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86 500 ₽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243 000 ₽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предоплата за Этап 0 засчитывается в стоимость работ и не увеличивает общую сумму договора; платежи 1 и 2 в совокупности составляют аванс в размере 70 000 ₽;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Этап 0 выполняется в рамках настоящего договора и не является самостоятельной сделкой;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платежи привязаны к факту выполнения работ и не обусловлены согласованием визуального оформления.</w:t>
      </w:r>
    </w:p>
    <w:p>
      <w:pPr>
        <w:pStyle w:val="Heading1"/>
      </w:pPr>
      <w:r>
        <w:t xml:space="preserve">13. Гарантия, сопровождение и SLA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гарантийный срок — 3 (три) месяца с даты подписания финального акта; дефекты, выявленные в гарантийный срок, устраняются Исполнителем безвозмездно;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по истечении гарантийного срока сопровождение осуществляется по отдельному соглашению;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сроки реакции на обращения в режиме платного сопровождения: критическая ошибка (система не работает или данные не поступают) — до 6 рабочих часов; существенная — 1 рабочий день; некритическая — 3 рабочих дня;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рабочее время: 09:00–18:00 по московскому времени, понедельник — пятница;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указанные сроки являются сроками реакции и начала работ, а не сроками устранения.</w:t>
      </w:r>
    </w:p>
    <w:p>
      <w:pPr>
        <w:pStyle w:val="Heading1"/>
      </w:pPr>
      <w:r>
        <w:t xml:space="preserve">14. Передача результатов и права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одновременно с подписанием финального акта и получением финального платежа Исполнитель передаёт Заказчику: исходный код (доступ к репозиторию), документацию пользователя, схему интеграций с используемыми API, инструкцию по установке и администрированию, описание логики расчёта ROMI, доступы администратора;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промежуточная документация, структура базы данных и схема интеграций передаются в ходе работ, до финального акта;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визуальный макет Этапа 0 передаётся в виде развёрнутого интерактивного прототипа; исходный код макета передаётся в составе полного комплекта;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используемые библиотеки, модули, шаблоны, утилиты и компоненты третьих лиц распространяются по лицензиям MIT и Apache 2.0 и не ограничивают Заказчика в эксплуатации, доработке, развитии и передаче системы другому подрядчику; лицензионные платежи отсутствуют;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исключительные права на результат работ переходят Заказчику после полной оплаты по договору.</w:t>
      </w:r>
    </w:p>
    <w:p>
      <w:pPr>
        <w:pStyle w:val="Heading1"/>
      </w:pPr>
      <w:r>
        <w:t xml:space="preserve">15. Ответственность сторон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за нарушение срока по вине Исполнителя — неустойка 0,1% от стоимости этапа за каждый день просрочки, но не более 10% от стоимости этапа;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за нарушение срока оплаты по вине Заказчика — неустойка в том же размере;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задержки на стороне Заказчика (предоставление доступов, заявка на доступ к API Яндекс Директа, права в МойСклад, разметка брендов, предоставление сервера, согласование правил) сдвигают срок выполнения работ и просрочкой Исполнителя не считаются;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недоступность или изменение внешних API и сервисов, а также недоступность данных на стороне источников просрочкой Исполнителя не считаются;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при отказе Заказчика от договора оплате подлежат фактически понесённые Исполнителем расходы, документально подтверждённые и соответствующие проценту готовности работ на дату отказа.</w:t>
      </w:r>
    </w:p>
    <w:p>
      <w:pPr>
        <w:pStyle w:val="Heading1"/>
      </w:pPr>
      <w:r>
        <w:t xml:space="preserve">16. Что не входит в объём Этапа 1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внесение изменений в рекламный кабинет (применение минус-слов, изменение бюджетов, ставок и состава кампаний), изменение цен, переписка с клиентами;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транскрибация и оценка качества звонков, скоринг менеджеров;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финансовая аналитика как отдельный модуль (операционные расходы, зарплаты, прибыль по направлениям), аналитика по менеджерам и LTV, единый управляющий агент со сводным ежедневным отчётом — оцениваются отдельно после запуска Этапа 1;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уведомления в Telegram;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аналитика дебиторской задолженности;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разграничение прав доступа между пользователями системы;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размещение LLM или транскрибации на локальном оборудовании;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ежемесячное сопровождение и развитие — по отдельному соглашению;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операционные расходы на хостинг и LLM — на стороне Заказчика.</w:t>
      </w:r>
    </w:p>
    <w:p>
      <w:pPr>
        <w:pStyle w:val="Heading1"/>
      </w:pPr>
      <w:r>
        <w:t xml:space="preserve">17. Реквизиты и подписи сторон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Заказчик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ИП Покровский Андрей Васильевич</w:t>
            </w:r>
            <w:r>
              <w:rPr>
                <w:sz w:val="20"/>
                <w:szCs w:val="20"/>
              </w:rPr>
              <w:t xml:space="preserve">
E-mail: andrepokrovskii777@gmail.com</w:t>
            </w:r>
            <w:r>
              <w:rPr>
                <w:sz w:val="20"/>
                <w:szCs w:val="20"/>
              </w:rPr>
              <w:t xml:space="preserve">
Telegram: @yoda78</w:t>
            </w:r>
            <w:r>
              <w:rPr>
                <w:sz w:val="20"/>
                <w:szCs w:val="20"/>
              </w:rPr>
              <w:t xml:space="preserve">
Сайт: fututeam.ru</w:t>
            </w:r>
            <w:r>
              <w:rPr>
                <w:sz w:val="20"/>
                <w:szCs w:val="20"/>
              </w:rPr>
              <w:t xml:space="preserve">
Телефон: ______________</w:t>
            </w:r>
            <w:r>
              <w:rPr>
                <w:sz w:val="20"/>
                <w:szCs w:val="20"/>
              </w:rPr>
              <w:t xml:space="preserve">
ИНН / реквизиты: ______________</w:t>
            </w:r>
            <w:r>
              <w:rPr>
                <w:sz w:val="20"/>
                <w:szCs w:val="20"/>
              </w:rPr>
              <w:t xml:space="preserve">
_______________ / А. В. Покровский /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Lawyer</w:t>
            </w:r>
            <w:r>
              <w:rPr>
                <w:sz w:val="20"/>
                <w:szCs w:val="20"/>
              </w:rPr>
              <w:t xml:space="preserve">
Реквизиты: ______________</w:t>
            </w:r>
            <w:r>
              <w:rPr>
                <w:sz w:val="20"/>
                <w:szCs w:val="20"/>
              </w:rPr>
              <w:t xml:space="preserve">
_______________ / ______________ /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2026-07-16T11:21:22.925Z</dcterms:created>
  <dcterms:modified xsi:type="dcterms:W3CDTF">2026-07-16T11:21:22.945Z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