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315E86"/>
          <w:sz w:val="20"/>
        </w:rPr>
        <w:t>ОТЧЁТ О СООТВЕТСТВИИ ТЗ</w:t>
      </w:r>
    </w:p>
    <w:p>
      <w:pPr>
        <w:pStyle w:val="Title"/>
      </w:pPr>
      <w:r>
        <w:rPr>
          <w:rFonts w:ascii="Calibri" w:hAnsi="Calibri" w:eastAsia="Calibri"/>
          <w:b/>
          <w:color w:val="1F2937"/>
          <w:sz w:val="48"/>
        </w:rPr>
        <w:t>Lawyer</w:t>
      </w:r>
    </w:p>
    <w:p>
      <w:pPr>
        <w:spacing w:after="360"/>
      </w:pPr>
      <w:r>
        <w:rPr>
          <w:rFonts w:ascii="Calibri" w:hAnsi="Calibri" w:eastAsia="Calibri"/>
          <w:color w:val="667085"/>
          <w:sz w:val="32"/>
        </w:rPr>
        <w:t>Управленческая панель продаж и маркетинга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315E86"/>
                <w:sz w:val="18"/>
              </w:rPr>
              <w:t>Основание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«ТЗ — панель продаж — итоговое — Lawyer»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315E86"/>
                <w:sz w:val="18"/>
              </w:rPr>
              <w:t>Объект проверки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Исходный код, база данных и production lawyer.futuguru.com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315E86"/>
                <w:sz w:val="18"/>
              </w:rPr>
              <w:t>Дата среза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5 сентября 2026 года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315E86"/>
                <w:sz w:val="18"/>
              </w:rPr>
              <w:t>Назначение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Сверка требований, текущей реализации и остаточных работ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1" w:color="FFF4CC"/>
              <w:left w:val="single" w:sz="1" w:color="FFF4CC"/>
              <w:bottom w:val="single" w:sz="1" w:color="FFF4CC"/>
              <w:right w:val="single" w:sz="1" w:color="FFF4CC"/>
              <w:insideH w:val="single" w:sz="1" w:color="FFF4CC"/>
              <w:insideV w:val="single" w:sz="1" w:color="FFF4CC"/>
            </w:tcBorders>
            <w:shd w:fill="FFF4CC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315E86"/>
                <w:sz w:val="21"/>
              </w:rPr>
              <w:t>Главный вывод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9"/>
              </w:rPr>
              <w:t>Функциональные доработки по семи пунктам выполнены: загружаются история стадий и активности, добавлены глобальный фильтр воронки, план-факт, ожидаемые оплаты, средние суммы, цикл сделки, аналитика отделов, роли и комментарии по сделкам. До приёмки остаётся бизнес-настройка: выбрать 11 воронок, выдать Bitrix24 право user_brief, заполнить сотрудников, отделы и планы, а также завершить параметры трёх аккаунтов Яндекса и проверить факты 1С.</w:t>
            </w:r>
          </w:p>
        </w:tc>
      </w:tr>
    </w:tbl>
    <w:p>
      <w:pPr>
        <w:spacing w:after="0"/>
      </w:pPr>
    </w:p>
    <w:p>
      <w:pPr>
        <w:pStyle w:val="Heading1"/>
      </w:pPr>
      <w:r>
        <w:t>1. Как читать отчёт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315E86"/>
                <w:sz w:val="18"/>
              </w:rPr>
              <w:t>Реализовано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Функция есть в коде, видна в интерфейсе или работает в сервисном слое.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315E86"/>
                <w:sz w:val="18"/>
              </w:rPr>
              <w:t>Частично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Есть каркас или часть расчёта, но не все поля, формулы или источники доведены до результата.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315E86"/>
                <w:sz w:val="18"/>
              </w:rPr>
              <w:t>Требует настройки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Код готов, но нужны доступы, сопоставления или начальные данные Заказчика.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315E86"/>
                <w:sz w:val="18"/>
              </w:rPr>
              <w:t>Не реализовано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Требуется доработка кода.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315E86"/>
                <w:sz w:val="18"/>
              </w:rPr>
              <w:t>Отложено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Исключено из текущего запуска по прямому указанию Заказчика.</w:t>
            </w:r>
          </w:p>
        </w:tc>
      </w:tr>
    </w:tbl>
    <w:p>
      <w:pPr>
        <w:spacing w:after="0"/>
      </w:pPr>
    </w:p>
    <w:p>
      <w:pPr>
        <w:pStyle w:val="Heading1"/>
      </w:pPr>
      <w:r>
        <w:t>2. Итог аудита</w:t>
      </w:r>
    </w:p>
    <w:p>
      <w:r>
        <w:rPr>
          <w:rFonts w:ascii="Calibri" w:hAnsi="Calibri" w:eastAsia="Calibri"/>
        </w:rPr>
        <w:t>Проверка выполнена по актуальному ТЗ, коду, миграциям, API, production-базе и собранному web-интерфейсу. Доступы и секреты в отчёт не включены.</w:t>
      </w:r>
    </w:p>
    <w:p>
      <w:pPr>
        <w:pStyle w:val="ListBullet"/>
      </w:pPr>
      <w:r>
        <w:rPr>
          <w:rFonts w:ascii="Calibri" w:hAnsi="Calibri" w:eastAsia="Calibri"/>
        </w:rPr>
        <w:t>Платформа развёрнута на https://lawyer.futuguru.com, API в production отвечает, PostgreSQL и миграции актуальны.</w:t>
      </w:r>
    </w:p>
    <w:p>
      <w:pPr>
        <w:pStyle w:val="ListBullet"/>
      </w:pPr>
      <w:r>
        <w:rPr>
          <w:rFonts w:ascii="Calibri" w:hAnsi="Calibri" w:eastAsia="Calibri"/>
        </w:rPr>
        <w:t>В production 779 сделок Bitrix24, 2 360 переходов стадий и 1 999 CRM-активностей. История, звонки и встречи поступают из обоих порталов.</w:t>
      </w:r>
    </w:p>
    <w:p>
      <w:pPr>
        <w:pStyle w:val="ListBullet"/>
      </w:pPr>
      <w:r>
        <w:rPr>
          <w:rFonts w:ascii="Calibri" w:hAnsi="Calibri" w:eastAsia="Calibri"/>
        </w:rPr>
        <w:t>Комментарии сформированы для 779 сделок. Базовый комментарий строится из фактов CRM; LLM-версия включается после настройки AI-интеграции.</w:t>
      </w:r>
    </w:p>
    <w:p>
      <w:pPr>
        <w:pStyle w:val="ListBullet"/>
      </w:pPr>
      <w:r>
        <w:rPr>
          <w:rFonts w:ascii="Calibri" w:hAnsi="Calibri" w:eastAsia="Calibri"/>
        </w:rPr>
        <w:t>Поступлений 1С, расходов Директа, визитов Метрики и ручных расходов пока нет. Финансовые и ROMI-блоки корректно остаются без расчётных значений до появления фактов.</w:t>
      </w:r>
    </w:p>
    <w:p>
      <w:pPr>
        <w:pStyle w:val="ListBullet"/>
      </w:pPr>
      <w:r>
        <w:rPr>
          <w:rFonts w:ascii="Calibri" w:hAnsi="Calibri" w:eastAsia="Calibri"/>
        </w:rPr>
        <w:t>Включено 15 воронок вместо 11 из ТЗ; это не ошибка механизма, но незавершённая бизнес-настройка.</w:t>
      </w:r>
    </w:p>
    <w:p>
      <w:pPr>
        <w:pStyle w:val="ListBullet"/>
      </w:pPr>
      <w:r>
        <w:rPr>
          <w:rFonts w:ascii="Calibri" w:hAnsi="Calibri" w:eastAsia="Calibri"/>
        </w:rPr>
        <w:t>Отделы, сотрудники, планы и отдельные пользователи панели в production не заполнены. Вход выполняется резервной учётной записью собственника.</w:t>
      </w:r>
    </w:p>
    <w:p>
      <w:pPr>
        <w:pStyle w:val="ListBullet"/>
      </w:pPr>
      <w:r>
        <w:rPr>
          <w:rFonts w:ascii="Calibri" w:hAnsi="Calibri" w:eastAsia="Calibri"/>
        </w:rPr>
        <w:t>Оба webhook Bitrix24 читают CRM, но отклоняют user.get из-за недостаточных прав; поэтому часть ответственных пока отображается по ID.</w:t>
      </w:r>
    </w:p>
    <w:p>
      <w:pPr>
        <w:pStyle w:val="ListBullet"/>
      </w:pPr>
      <w:r>
        <w:rPr>
          <w:rFonts w:ascii="Calibri" w:hAnsi="Calibri" w:eastAsia="Calibri"/>
        </w:rPr>
        <w:t>Исходный код опубликован в GitHub main, актуальный коммит 4f13e8d. Последнее исправление прошло lint и 42 целевых теста.</w:t>
      </w:r>
    </w:p>
    <w:p>
      <w:pPr>
        <w:pStyle w:val="Heading1"/>
      </w:pPr>
      <w:r>
        <w:t>3. Источники данных и архитектура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Требование ТЗ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Статус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Как реализовано / где находится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Что осталось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Один дашборд; 3 юрлица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E7F6E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Реализовано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Единое приложение. Глобальный фильтр юрлица; Настройки → Юрлица. ИНН ЮО, ЦСВ и УрПАСЭ заданы.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Ничего по трём основным юрлицам.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2 портала Bitrix24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E7F6E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Реализовано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Два входящих webhook. Сделки, история стадий, звонки и встречи загружаются раздельно по источникам box/cloud. В production: 779 сделок, 2 360 переходов и 1 999 активностей.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Добавить право user_brief для загрузки ФИО.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Имена ответственных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FFF4C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Требует настройки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Автоматический справочник user.get и ручное сопоставление ID → ФИО реализованы. Ручное сохранение сразу обновляет ранее загруженные сделки.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В обоих webhook включить scope user_brief либо заполнить Настройки → Сотрудники вручную.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1С: POST + Basic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FFF4C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Требует настройки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Адаптер боевого endpoint, HTTP POST, Basic Authentication, скользящее окно, дедупликация и журнал сопоставлений реализованы.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В production 0 поступлений: проверить доступность endpoint и учётные данные, затем запустить пересчёт.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Фильтры поступлений 1С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E7F6E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Реализовано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ИНН получателя; Код_BTX/Тип_BTX; исключение внутригрупповых переводов; белый список точных статей ДДС; типы операций.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Тест на боевой выгрузке и разбор исключённых/несопоставленных строк.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РЦА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F1EC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Отложено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Не включено в три утверждённых юрлица.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Нужен точный ИНН и решение о включении.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3 аккаунта Директа/Метрики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FFF4C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Требует настройки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Интеграции → Яндекс: отдельные комплекты настроек для ЮО, ЦСВ и УрПАСЭ; адаптеры Direct Reports API и Metrika API.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OAuth-токены сохранены. Для каждого юрлица заполнить логин Директа и ID счётчика Метрики; в базе пока 0 расходов и 0 визитов.</w:t>
            </w:r>
          </w:p>
        </w:tc>
      </w:tr>
    </w:tbl>
    <w:p>
      <w:pPr>
        <w:spacing w:after="0"/>
      </w:pPr>
    </w:p>
    <w:p>
      <w:pPr>
        <w:pStyle w:val="Heading1"/>
      </w:pPr>
      <w:r>
        <w:t>4. Воронка, планирование и менеджеры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Требование ТЗ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Статус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Как реализовано / где находится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Что осталось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11 воронок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FFF4C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Требует настройки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Настройки → Воронки: система читает их из обоих Bitrix24, позволяет выбрать нужные, привязать юрлицо и SLA.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Сейчас включено 15. Оставить точно 7 ЮО + 2 УрПАСЭ + 2 lead-воронки.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Этапы и конверсии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E7F6E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Реализовано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Воронка обработки использует фактическую историю стадий. Глобальный фильтр воронки применяется к KPI, таблицам и аналитическим блокам.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Провести бизнес-приёмку после выбора окончательных 11 воронок.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Планы по месяцам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FFF4C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Требует настройки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План-факт реализован для компании, отдела и сотрудника: выручка, оплаты, сделки, звонки и встречи, факт и процент выполнения.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В production планов 0. Заполнить структуру и месячные планы.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Ожидание оплат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E7F6E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Реализовано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Отдельный расчёт ожидаемых оплат по настроенным стадиям, суммам сделок, периоду, юрлицу и воронке.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Подтвердить целевые стадии, включая «Заключение Контракта».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Средние суммы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E7F6E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Реализовано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На дашборде рассчитаны средняя сумма договора по CRM и средняя сумма поступления по фактам 1С.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Средняя сумма поступления появится после загрузки 1С.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Цикл сделки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E7F6E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Реализовано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Средний цикл рассчитывается по фактическим переходам и датам сделок с учётом глобальных фильтров.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Проверить трактовку финальной стадии на выбранных воронках.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Карточки менеджеров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E7F6E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Реализовано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Контроль менеджеров дополнен конверсией и план-фактом продаж, звонков и встреч.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Настроить ФИО и соответствие сотрудников, затем внести планы.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Агрегаты отделов/МОП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FFF4C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Требует настройки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Добавлен отдельный блок отделов: сотрудники, лиды, сделки в работе, конверсия, звонки, встречи, оплаты и выручка.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В production отделов 0; создать отделы и привязать сотрудников.</w:t>
            </w:r>
          </w:p>
        </w:tc>
      </w:tr>
    </w:tbl>
    <w:p>
      <w:pPr>
        <w:spacing w:after="0"/>
      </w:pPr>
    </w:p>
    <w:p>
      <w:pPr>
        <w:pStyle w:val="Heading1"/>
      </w:pPr>
      <w:r>
        <w:t>5. Контроль, SLA и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Требование ТЗ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Статус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Как реализовано / где находится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Что осталось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Сделки без движения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E7F6E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Реализовано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Мониторинг использует фактическое время входа в стадию из stage_history; пороги SLA вынесены в настройки с историей и откатом.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Проверить пороги на боевых воронках.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Без повторного касания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E7F6E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Реализовано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Правило использует загруженные звонки и встречи, фактическую последнюю активность и настраиваемый порог.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Подтвердить бизнес-исключения по договорённостям с клиентом.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Отказы Спам/Дубль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FFF4C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Частично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Причина отказа может храниться в custom-полях; оценочные нарушения вынесены в настройки.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Уточнить поле Bitrix24 и механизм ручной проверки.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SLA 1–6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E7F6E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Реализовано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Профиль SLA вынесен в Настройки → SLA; история стадий и активности дают фактические даты первого касания, движения и повторного контакта.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Пункты, требующие экспертной оценки, принять с руководителями.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Задача из алерта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E7F6E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Реализовано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В мониторинге есть действие создания задачи через Bitrix24.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Боевая приёмка прав webhook на crm.task.add.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Еженедельный AI-разбор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FFF4C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Требует настройки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Планировщик на понедельник 03:30 и хранилище AI-инсайтов реализованы.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Нужен ключ LLM и боевые данные; сейчас AI-инсайтов 0.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AI-комментарий по сделке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E7F6E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Реализовано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Комментарий отображается в каждой строке. Есть детерминированная версия по CRM-фактам, fingerprint обновлений и LLM-генерация пакетами.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Для LLM-комментариев нужен ключ и модель; сейчас заполнены базовые комментарии для 779 сделок.</w:t>
            </w:r>
          </w:p>
        </w:tc>
      </w:tr>
    </w:tbl>
    <w:p>
      <w:pPr>
        <w:spacing w:after="0"/>
      </w:pPr>
    </w:p>
    <w:p>
      <w:pPr>
        <w:pStyle w:val="Heading1"/>
      </w:pPr>
      <w:r>
        <w:t>6. Маркетинг, расходы и ROMI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1" w:color="E7F6EC"/>
              <w:left w:val="single" w:sz="1" w:color="E7F6EC"/>
              <w:bottom w:val="single" w:sz="1" w:color="E7F6EC"/>
              <w:right w:val="single" w:sz="1" w:color="E7F6EC"/>
              <w:insideH w:val="single" w:sz="1" w:color="E7F6EC"/>
              <w:insideV w:val="single" w:sz="1" w:color="E7F6EC"/>
            </w:tcBorders>
            <w:shd w:fill="E7F6EC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315E86"/>
                <w:sz w:val="21"/>
              </w:rPr>
              <w:t>Решение по вопросу о ROMI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9"/>
              </w:rPr>
              <w:t>Блок «ROMI по каналам» нужен по п. 3.6 ТЗ и возвращён на дашборд. Он не показывает демо-цифры: до появления расходов и привязанных поступлений 1С выводит честное пустое состояние.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Требование ТЗ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Статус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Как реализовано / где находится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Что осталось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Источники лидов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E7F6E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Реализовано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Дашборд → «Источники лидов»; разбивка по полю источника Bitrix24, фильтр источника.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Проверить таксономию и UTM на боевых данных.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Расходы Директа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FFF4C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Требует настройки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Посуточная загрузка Direct Reports API, приведение к базе без НДС, разрез по юрлицу/периоду/кампании.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Заполнить логины аккаунтов, проверить права и запустить выгрузку.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Ручные статьи расходов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E7F6E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Реализовано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Новое требование: Настройки → Расходы. Дата, юрлицо, статья, сумма, канал, кампания, комментарий; журнал и удаление.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Заполняется пользователем.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Блок расходов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E7F6E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Реализовано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Дашборд → «Расходы по статьям»: сумма автоматического Директа и всех ручных статей; фильтр периода/юрлица.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Появится после первой записи или выгрузки Директа.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ROMI по каналам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E7F6E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Реализовано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Дашборд и раздел ROMI. Формула: (база дохода − рекламный расход) / расход × 100%. В ROMI входят Direct и только ручные строки с флагом.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Нужны факты Direct и связанные поступления 1С; иначе блок пуст. Не дублировать Direct вручную.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Маржа в ROMI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FFF4C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Частично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Выручка берётся только из разрешённых фактических поступлений 1С, не из успешной стадии Bitrix24.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Источника себестоимости нет. До его появления это ROMI по выручке, а не по бухгалтерской марже.</w:t>
            </w:r>
          </w:p>
        </w:tc>
      </w:tr>
    </w:tbl>
    <w:p>
      <w:pPr>
        <w:spacing w:after="0"/>
      </w:pPr>
    </w:p>
    <w:p>
      <w:pPr>
        <w:pStyle w:val="Heading1"/>
      </w:pPr>
      <w:r>
        <w:t>7. Доступ и эксплуатация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Требование ТЗ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Статус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Как реализовано / где находится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Что осталось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Веб-панель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E7F6E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Реализовано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HTTPS, авторизация, закрытый API, Docker Compose, healthcheck, миграции, worker, backup-скрипты.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Настроить операционный контроль бэкапов и алертов.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Роли: собственник/руководитель/менеджер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FFF4CC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Требует настройки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RBAC реализован: собственник видит всё, руководитель ограничен отделом, менеджер — своими сделками; финансовые блоки менеджеру скрыты. Есть управление пользователями.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В production отдельных пользователей 0. Создать учётные записи после заполнения сотрудников и отделов.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Telegram-бот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F1EC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Отложено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Не подключён по последнему указанию Заказчика.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Вернуть в объём после отдельного решения.</w:t>
            </w:r>
          </w:p>
        </w:tc>
      </w:tr>
      <w:tr>
        <w:trPr>
          <w:cantSplit/>
        </w:trPr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Calltouch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  <w:shd w:fill="F1ECFF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1F2937"/>
                <w:sz w:val="16"/>
              </w:rPr>
              <w:t>Отложено</w:t>
            </w:r>
          </w:p>
        </w:tc>
        <w:tc>
          <w:tcPr>
            <w:tcW w:type="dxa" w:w="4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Скрыт из интерфейса по решению Заказчика.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vAlign w:val="top"/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6"/>
              </w:rPr>
              <w:t>Не включать в текущую приёмку.</w:t>
            </w:r>
          </w:p>
        </w:tc>
      </w:tr>
    </w:tbl>
    <w:p>
      <w:pPr>
        <w:spacing w:after="0"/>
      </w:pPr>
    </w:p>
    <w:p>
      <w:pPr>
        <w:pStyle w:val="Heading1"/>
      </w:pPr>
      <w:r>
        <w:t>8. Обязательная настройка перед приёмкой</w:t>
      </w:r>
    </w:p>
    <w:p>
      <w:pPr>
        <w:pStyle w:val="Heading2"/>
      </w:pPr>
      <w:r>
        <w:t>Сотрудники и роли</w:t>
      </w:r>
    </w:p>
    <w:p>
      <w:pPr>
        <w:pStyle w:val="ListNumber"/>
      </w:pPr>
      <w:r>
        <w:rPr>
          <w:rFonts w:ascii="Calibri" w:hAnsi="Calibri" w:eastAsia="Calibri"/>
        </w:rPr>
        <w:t>В настройках каждого входящего webhook Bitrix24 добавить право на краткий справочник пользователей — scope user_brief. Сейчас оба портала отклоняют user.get, поэтому система видит ID ответственного, но не получает ФИО.</w:t>
      </w:r>
    </w:p>
    <w:p>
      <w:pPr>
        <w:pStyle w:val="ListNumber"/>
      </w:pPr>
      <w:r>
        <w:rPr>
          <w:rFonts w:ascii="Calibri" w:hAnsi="Calibri" w:eastAsia="Calibri"/>
        </w:rPr>
        <w:t>После изменения прав открыть «Интеграции», выполнить проверку обоих Bitrix24 и запустить пересчёт. Плановая синхронизация также обновит ФИО во всех ранее загруженных сделках, а не только в новых.</w:t>
      </w:r>
    </w:p>
    <w:p>
      <w:pPr>
        <w:pStyle w:val="ListNumber"/>
      </w:pPr>
      <w:r>
        <w:rPr>
          <w:rFonts w:ascii="Calibri" w:hAnsi="Calibri" w:eastAsia="Calibri"/>
        </w:rPr>
        <w:t>Если право user_brief выдать нельзя, открыть «Настройки → Структура и планы → Сотрудники» и для каждого человека заполнить ФИО, портал box/cloud и ID пользователя Bitrix24. Ручное соответствие применяется к старым сделкам сразу после сохранения.</w:t>
      </w:r>
    </w:p>
    <w:p>
      <w:pPr>
        <w:pStyle w:val="ListNumber"/>
      </w:pPr>
      <w:r>
        <w:rPr>
          <w:rFonts w:ascii="Calibri" w:hAnsi="Calibri" w:eastAsia="Calibri"/>
        </w:rPr>
        <w:t>Создать отделы и привязать к ним сотрудников и юрлица. После этого заполнить месячные планы по компании, отделам и сотрудникам: выручка, оплаты, сделки, звонки и встречи.</w:t>
      </w:r>
    </w:p>
    <w:p>
      <w:pPr>
        <w:pStyle w:val="ListNumber"/>
      </w:pPr>
      <w:r>
        <w:rPr>
          <w:rFonts w:ascii="Calibri" w:hAnsi="Calibri" w:eastAsia="Calibri"/>
        </w:rPr>
        <w:t>В управлении пользователями создать учётные записи собственника, руководителей и менеджеров. Для руководителя выбрать отдел, для менеджера — соответствующего сотрудника.</w:t>
      </w:r>
    </w:p>
    <w:p>
      <w:pPr>
        <w:pStyle w:val="Heading2"/>
      </w:pPr>
      <w:r>
        <w:t>Три аккаунта Яндекса</w:t>
      </w:r>
    </w:p>
    <w:p>
      <w:pPr>
        <w:pStyle w:val="ListNumber"/>
      </w:pPr>
      <w:r>
        <w:rPr>
          <w:rFonts w:ascii="Calibri" w:hAnsi="Calibri" w:eastAsia="Calibri"/>
        </w:rPr>
        <w:t>Для ЮО открыть «Интеграции → Яндекс · ЮО». OAuth-токен уже сохранён; заполнить логин клиента Яндекс Директа и числовой ID счётчика Метрики.</w:t>
      </w:r>
    </w:p>
    <w:p>
      <w:pPr>
        <w:pStyle w:val="ListNumber"/>
      </w:pPr>
      <w:r>
        <w:rPr>
          <w:rFonts w:ascii="Calibri" w:hAnsi="Calibri" w:eastAsia="Calibri"/>
        </w:rPr>
        <w:t>Аналогично заполнить логин Директа и ID счётчика в карточках «Яндекс · ЦСВ» и «Яндекс · УрПАСЭ». OAuth-токены во всех трёх карточках уже присутствуют.</w:t>
      </w:r>
    </w:p>
    <w:p>
      <w:pPr>
        <w:pStyle w:val="ListNumber"/>
      </w:pPr>
      <w:r>
        <w:rPr>
          <w:rFonts w:ascii="Calibri" w:hAnsi="Calibri" w:eastAsia="Calibri"/>
        </w:rPr>
        <w:t>Убедиться, что OAuth-пользователь имеет доступ на чтение каждого кабинета Директа и соответствующего счётчика Метрики. Логин Директа указывается именно для того рекламного клиента, данные которого должны попасть в юрлицо.</w:t>
      </w:r>
    </w:p>
    <w:p>
      <w:pPr>
        <w:pStyle w:val="ListNumber"/>
      </w:pPr>
      <w:r>
        <w:rPr>
          <w:rFonts w:ascii="Calibri" w:hAnsi="Calibri" w:eastAsia="Calibri"/>
        </w:rPr>
        <w:t>Нажать «Проверить подключение» для каждой карточки. Исправить права или идентификаторы, если проверка не подтверждает одновременно Директ и Метрику.</w:t>
      </w:r>
    </w:p>
    <w:p>
      <w:pPr>
        <w:pStyle w:val="ListNumber"/>
      </w:pPr>
      <w:r>
        <w:rPr>
          <w:rFonts w:ascii="Calibri" w:hAnsi="Calibri" w:eastAsia="Calibri"/>
        </w:rPr>
        <w:t>Запустить полный пересчёт. Проверить появление расходов в «Расходах по статьям», визитов и кампаний, а после загрузки поступлений 1С — значений в «ROMI по каналам».</w:t>
      </w:r>
    </w:p>
    <w:p>
      <w:pPr>
        <w:pStyle w:val="Heading2"/>
      </w:pPr>
      <w:r>
        <w:t>Остальные бизнес-настройки</w:t>
      </w:r>
    </w:p>
    <w:p>
      <w:pPr>
        <w:pStyle w:val="ListNumber"/>
      </w:pPr>
      <w:r>
        <w:rPr>
          <w:rFonts w:ascii="Calibri" w:hAnsi="Calibri" w:eastAsia="Calibri"/>
        </w:rPr>
        <w:t>Оставить в панели ровно 11 согласованных воронок и привязать каждую к юрлицу и профилю SLA. Сейчас включено 15.</w:t>
      </w:r>
    </w:p>
    <w:p>
      <w:pPr>
        <w:pStyle w:val="ListNumber"/>
      </w:pPr>
      <w:r>
        <w:rPr>
          <w:rFonts w:ascii="Calibri" w:hAnsi="Calibri" w:eastAsia="Calibri"/>
        </w:rPr>
        <w:t>Подтвердить стадии ожидаемой оплаты и финальную трактовку стадии «Заключение Контракта».</w:t>
      </w:r>
    </w:p>
    <w:p>
      <w:pPr>
        <w:pStyle w:val="ListNumber"/>
      </w:pPr>
      <w:r>
        <w:rPr>
          <w:rFonts w:ascii="Calibri" w:hAnsi="Calibri" w:eastAsia="Calibri"/>
        </w:rPr>
        <w:t>Проверить боевую выгрузку 1С и разобрать журнал исключённых и несопоставленных поступлений.</w:t>
      </w:r>
    </w:p>
    <w:p>
      <w:pPr>
        <w:pStyle w:val="Heading1"/>
      </w:pPr>
      <w:r>
        <w:t>9. Приёмка нового блока расходов</w:t>
      </w:r>
    </w:p>
    <w:p>
      <w:pPr>
        <w:pStyle w:val="ListBullet"/>
      </w:pPr>
      <w:r>
        <w:rPr>
          <w:rFonts w:ascii="Calibri" w:hAnsi="Calibri" w:eastAsia="Calibri"/>
        </w:rPr>
        <w:t>В «Настройки → Расходы» создаётся запись с датой, юрлицом, статьёй и положительной суммой.</w:t>
      </w:r>
    </w:p>
    <w:p>
      <w:pPr>
        <w:pStyle w:val="ListBullet"/>
      </w:pPr>
      <w:r>
        <w:rPr>
          <w:rFonts w:ascii="Calibri" w:hAnsi="Calibri" w:eastAsia="Calibri"/>
        </w:rPr>
        <w:t>Строка удаляется из журнала только после подтверждения.</w:t>
      </w:r>
    </w:p>
    <w:p>
      <w:pPr>
        <w:pStyle w:val="ListBullet"/>
      </w:pPr>
      <w:r>
        <w:rPr>
          <w:rFonts w:ascii="Calibri" w:hAnsi="Calibri" w:eastAsia="Calibri"/>
        </w:rPr>
        <w:t>Общий расход виден в «Расходах по статьям» за выбранные период и юрлицо.</w:t>
      </w:r>
    </w:p>
    <w:p>
      <w:pPr>
        <w:pStyle w:val="ListBullet"/>
      </w:pPr>
      <w:r>
        <w:rPr>
          <w:rFonts w:ascii="Calibri" w:hAnsi="Calibri" w:eastAsia="Calibri"/>
        </w:rPr>
        <w:t>В ROMI попадает только ручная строка с флагом «Учитывать в ROMI»; для неё канал обязателен.</w:t>
      </w:r>
    </w:p>
    <w:p>
      <w:pPr>
        <w:pStyle w:val="ListBullet"/>
      </w:pPr>
      <w:r>
        <w:rPr>
          <w:rFonts w:ascii="Calibri" w:hAnsi="Calibri" w:eastAsia="Calibri"/>
        </w:rPr>
        <w:t>Загруженный расход Директа появляется автоматически как отдельная статья; он не вводится вручную.</w:t>
      </w:r>
    </w:p>
    <w:p>
      <w:pPr>
        <w:pStyle w:val="ListBullet"/>
      </w:pPr>
      <w:r>
        <w:rPr>
          <w:rFonts w:ascii="Calibri" w:hAnsi="Calibri" w:eastAsia="Calibri"/>
        </w:rPr>
        <w:t>При отсутствии расходов или связанной выручки ROMI не выдумывает число, а показывает пустое состояние.</w:t>
      </w:r>
    </w:p>
    <w:p>
      <w:pPr>
        <w:pStyle w:val="Heading1"/>
      </w:pPr>
      <w:r>
        <w:t>10. Техническая карта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315E86"/>
                <w:sz w:val="18"/>
              </w:rPr>
              <w:t>Дашборд и ROMI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DashboardPage.tsx; GET /api/dashboard/*; GET /api/romi/by-channel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315E86"/>
                <w:sz w:val="18"/>
              </w:rPr>
              <w:t>Расходы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BusinessSettingsPage.tsx; /api/admin/expenses; /api/dashboard/expenses-by-article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315E86"/>
                <w:sz w:val="18"/>
              </w:rPr>
              <w:t>План-факт и отделы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GET /api/dashboard/plan-fact; /departments; backend/app/services/plan_fact.py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315E86"/>
                <w:sz w:val="18"/>
              </w:rPr>
              <w:t>Роли и пользователи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GET/POST/PUT/DELETE /api/admin/users; AppUser; RequireRole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315E86"/>
                <w:sz w:val="18"/>
              </w:rPr>
              <w:t>CRM и комментарии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stage_history; crm_activities; deal_comments.py; Alembic 0010–0011 и 0013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315E86"/>
                <w:sz w:val="18"/>
              </w:rPr>
              <w:t>Настройки и интеграции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/api/admin/business-settings; /api/integrations/settings; /bitrix/funnels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315E86"/>
                <w:sz w:val="18"/>
              </w:rPr>
              <w:t>Документация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D0D5DD"/>
              <w:left w:val="single" w:sz="4" w:color="D0D5DD"/>
              <w:bottom w:val="single" w:sz="4" w:color="D0D5DD"/>
              <w:right w:val="single" w:sz="4" w:color="D0D5DD"/>
              <w:insideH w:val="single" w:sz="4" w:color="D0D5DD"/>
              <w:insideV w:val="single" w:sz="4" w:color="D0D5DD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color w:val="1F2937"/>
                <w:sz w:val="18"/>
              </w:rPr>
              <w:t>docs/ADMIN.md, DB_SCHEMA.md, ROMI_METHODOLOGY.md, ACCEPTANCE_CHECKLIST.md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1" w:color="F2F4F7"/>
              <w:left w:val="single" w:sz="1" w:color="F2F4F7"/>
              <w:bottom w:val="single" w:sz="1" w:color="F2F4F7"/>
              <w:right w:val="single" w:sz="1" w:color="F2F4F7"/>
              <w:insideH w:val="single" w:sz="1" w:color="F2F4F7"/>
              <w:insideV w:val="single" w:sz="1" w:color="F2F4F7"/>
            </w:tcBorders>
            <w:shd w:fill="F2F4F7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315E86"/>
                <w:sz w:val="21"/>
              </w:rPr>
              <w:t>Граница вывода</w:t>
            </w:r>
          </w:p>
          <w:p>
            <w:pPr>
              <w:spacing w:after="0"/>
            </w:pPr>
            <w:r>
              <w:rPr>
                <w:rFonts w:ascii="Calibri" w:hAnsi="Calibri" w:eastAsia="Calibri"/>
                <w:color w:val="1F2937"/>
                <w:sz w:val="19"/>
              </w:rPr>
              <w:t>Отчёт отражает состояние GitHub main и production на 05.09.2026. Пункты со статусом «Требует настройки» не считаются принятыми до заполнения доступов, структуры и планов и до появления боевых фактов. Секретные значения в документ не включены.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085"/>
        <w:sz w:val="17"/>
      </w:rPr>
      <w:t xml:space="preserve">Конфиденциально  ·  05.09.2026  ·  </w:t>
    </w:r>
    <w:r>
      <w:rPr>
        <w:rFonts w:ascii="Calibri" w:hAnsi="Calibri" w:eastAsia="Calibri"/>
        <w:color w:val="66708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Calibri"/>
        <w:b/>
        <w:color w:val="667085"/>
        <w:sz w:val="17"/>
      </w:rPr>
      <w:t>LAWYER  /  АУДИТ ТЕХНИЧЕСКОГО ЗАДАНИЯ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15E8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315E8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315E8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F293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 w:eastAsia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contextualSpacing/>
    </w:pPr>
    <w:rPr>
      <w:rFonts w:ascii="Calibri" w:hAnsi="Calibri" w:eastAsia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 w:eastAsia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Lawyer — отчёт о соответствии ТЗ</dc:title>
  <dc:subject>Сверка ТЗ, production и исходного кода</dc:subject>
  <dc:creator>Lawyer</dc:creator>
  <cp:keywords>Lawyer, ТЗ, аудит, Bitrix24, 1С, ROMI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