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АВТОМАТИЗИРОВАННОЙ СИСТЕМЫ УЧЕТА ДЕЯТЕЛЬНОСТИ АВТОРЕМОНТНОГО ПРЕДПРИЯТИЯ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r>
        <w:t>автоматизированной системы</w:t>
      </w:r>
      <w:r w:rsidRPr="00B67635">
        <w:t xml:space="preserve"> </w:t>
      </w:r>
      <w:r>
        <w:t>учета деятельности авторемонтного предприятия</w:t>
      </w:r>
      <w:bookmarkEnd w:id="2"/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В данном дипломном проекте разработан программный продукт, предназначенный для автоматизации деятельности авторемонтного предприятия.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деятельности авторемонтного предприятия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сократить время, необходимое для обработки заявок клиентов на ремонт автотранспортного средства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повысить эффективность работы сотрудников подразделений, участвующих в процессе оказания ремонтных услуг;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деятельность, связанную с учетом деталей, запчастей, комплектующих, необходимых для ремонта</w:t>
      </w:r>
      <w:r w:rsidRPr="003456E8">
        <w:rPr>
          <w:szCs w:val="28"/>
        </w:rPr>
        <w:t>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договоров на обслуживание, поставку новых запчастей и комплектующих, актов передачи и др</w:t>
      </w:r>
      <w:r w:rsidRPr="003456E8">
        <w:rPr>
          <w:szCs w:val="28"/>
        </w:rPr>
        <w:t>.;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статистики для анализа деятельности предприятия</w:t>
      </w:r>
      <w:r w:rsidRPr="003456E8">
        <w:rPr>
          <w:szCs w:val="28"/>
        </w:rPr>
        <w:t>;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3" w:name="_Toc482137044"/>
      <w:r>
        <w:lastRenderedPageBreak/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BodyText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05pt" o:ole="" fillcolor="window">
            <v:imagedata r:id="rId6" o:title=""/>
          </v:shape>
          <o:OLEObject Type="Embed" ProgID="Equation.3" ShapeID="_x0000_i1025" DrawAspect="Content" ObjectID="_1585817592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общее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8C5F01" w:rsidP="00CA5B03">
      <w:pPr>
        <w:ind w:firstLine="630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35pt;height:22.6pt" o:ole="">
            <v:imagedata r:id="rId8" o:title=""/>
          </v:shape>
          <o:OLEObject Type="Embed" ProgID="Equation.3" ShapeID="_x0000_i1026" DrawAspect="Content" ObjectID="_1585817593" r:id="rId9"/>
        </w:objec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</w:t>
      </w:r>
      <w:r>
        <w:lastRenderedPageBreak/>
        <w:t>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65pt;height:46.05pt" o:ole="" fillcolor="window">
            <v:imagedata r:id="rId10" o:title=""/>
          </v:shape>
          <o:OLEObject Type="Embed" ProgID="Equation.3" ShapeID="_x0000_i1027" DrawAspect="Content" ObjectID="_1585817594" r:id="rId11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количество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CA5B03">
      <w:pPr>
        <w:ind w:firstLine="708"/>
        <w:rPr>
          <w:szCs w:val="28"/>
        </w:rPr>
      </w:pP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r>
        <w:rPr>
          <w:szCs w:val="28"/>
          <w:lang w:val="en-US"/>
        </w:rPr>
        <w:t>i</w:t>
      </w:r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lastRenderedPageBreak/>
        <w:t>Техническое задание:</w:t>
      </w:r>
    </w:p>
    <w:p w:rsidR="00CA5B03" w:rsidRDefault="00CA5B03" w:rsidP="00AB0841">
      <w:pPr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8" type="#_x0000_t75" style="width:73.65pt;height:25.1pt" o:ole="">
            <v:imagedata r:id="rId12" o:title=""/>
          </v:shape>
          <o:OLEObject Type="Embed" ProgID="Equation.3" ShapeID="_x0000_i1028" DrawAspect="Content" ObjectID="_1585817595" r:id="rId13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147AFE" w:rsidP="00AB0841">
      <w:pPr>
        <w:pStyle w:val="ListParagraph"/>
        <w:ind w:left="851" w:hanging="281"/>
        <w:jc w:val="center"/>
        <w:rPr>
          <w:szCs w:val="28"/>
        </w:rPr>
      </w:pPr>
      <w:r w:rsidRPr="00147AFE">
        <w:rPr>
          <w:position w:val="-24"/>
          <w:szCs w:val="28"/>
        </w:rPr>
        <w:object w:dxaOrig="1480" w:dyaOrig="499">
          <v:shape id="_x0000_i1029" type="#_x0000_t75" style="width:73.65pt;height:25.1pt" o:ole="">
            <v:imagedata r:id="rId14" o:title=""/>
          </v:shape>
          <o:OLEObject Type="Embed" ProgID="Equation.3" ShapeID="_x0000_i1029" DrawAspect="Content" ObjectID="_1585817596" r:id="rId15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0" type="#_x0000_t75" style="width:73.65pt;height:25.1pt" o:ole="">
            <v:imagedata r:id="rId16" o:title=""/>
          </v:shape>
          <o:OLEObject Type="Embed" ProgID="Equation.3" ShapeID="_x0000_i1030" DrawAspect="Content" ObjectID="_1585817597" r:id="rId17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1" type="#_x0000_t75" style="width:74.5pt;height:25.1pt" o:ole="">
            <v:imagedata r:id="rId18" o:title=""/>
          </v:shape>
          <o:OLEObject Type="Embed" ProgID="Equation.3" ShapeID="_x0000_i1031" DrawAspect="Content" ObjectID="_1585817598" r:id="rId19"/>
        </w:object>
      </w:r>
    </w:p>
    <w:p w:rsidR="00CA5B03" w:rsidRDefault="00CA5B03" w:rsidP="00CA5B03">
      <w:pPr>
        <w:pStyle w:val="ListParagraph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Рассчитаем трудоемкость по стадиям:</w:t>
      </w:r>
    </w:p>
    <w:p w:rsidR="00776710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0,7 • 0,9 • 464</w:t>
      </w:r>
      <w:r w:rsidR="00147AFE">
        <w:t xml:space="preserve"> = 25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ТП</w:t>
      </w:r>
      <w:r w:rsidR="00147AFE">
        <w:t xml:space="preserve"> = 0,07</w:t>
      </w:r>
      <w:r w:rsidR="00887872">
        <w:t xml:space="preserve"> • 0,7 • 0,9 • 46</w:t>
      </w:r>
      <w:r w:rsidR="00C54268" w:rsidRPr="00C54268">
        <w:t>4</w:t>
      </w:r>
      <w:r w:rsidR="00887872">
        <w:t xml:space="preserve">= </w:t>
      </w:r>
      <w:r w:rsidR="00147AFE">
        <w:t>19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0,7 • 0,9 • 464</w:t>
      </w:r>
      <w:r w:rsidR="00887872">
        <w:t xml:space="preserve"> = </w:t>
      </w:r>
      <w:r w:rsidR="00147AFE">
        <w:t>169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0,7 • 0,9 • 464</w:t>
      </w:r>
      <w:r>
        <w:t xml:space="preserve"> = </w:t>
      </w:r>
      <w:r w:rsidR="00147AFE">
        <w:t>44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4"/>
      </w:pPr>
      <w:r w:rsidRPr="00227745">
        <w:t>Уточненная трудоемкость будет равна:</w:t>
      </w:r>
    </w:p>
    <w:p w:rsidR="0057549E" w:rsidRDefault="00887872" w:rsidP="00147AFE">
      <w:pPr>
        <w:pStyle w:val="a4"/>
        <w:jc w:val="center"/>
      </w:pPr>
      <w:r>
        <w:t>Т</w:t>
      </w:r>
      <w:r>
        <w:rPr>
          <w:vertAlign w:val="subscript"/>
        </w:rPr>
        <w:t>у</w:t>
      </w:r>
      <w:r>
        <w:t xml:space="preserve"> = 2</w:t>
      </w:r>
      <w:r w:rsidR="00147AFE">
        <w:rPr>
          <w:lang w:val="en-US"/>
        </w:rPr>
        <w:t>5</w:t>
      </w:r>
      <w:r>
        <w:t xml:space="preserve"> + </w:t>
      </w:r>
      <w:r w:rsidR="00147AFE">
        <w:rPr>
          <w:lang w:val="en-US"/>
        </w:rPr>
        <w:t>19</w:t>
      </w:r>
      <w:r>
        <w:t xml:space="preserve"> + </w:t>
      </w:r>
      <w:r w:rsidR="00147AFE">
        <w:rPr>
          <w:lang w:val="en-US"/>
        </w:rPr>
        <w:t>169</w:t>
      </w:r>
      <w:r>
        <w:t xml:space="preserve"> + </w:t>
      </w:r>
      <w:r w:rsidR="00147AFE">
        <w:rPr>
          <w:lang w:val="en-US"/>
        </w:rPr>
        <w:t>44</w:t>
      </w:r>
      <w:r>
        <w:t xml:space="preserve"> = </w:t>
      </w:r>
      <w:r w:rsidR="00147AFE">
        <w:rPr>
          <w:lang w:val="en-US"/>
        </w:rPr>
        <w:t>257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(З</w:t>
      </w:r>
      <w:r w:rsidR="00A4595F" w:rsidRPr="00CB0F18">
        <w:rPr>
          <w:szCs w:val="28"/>
          <w:vertAlign w:val="subscript"/>
        </w:rPr>
        <w:t>о</w:t>
      </w:r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1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1876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95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3800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5676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F15C95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>С учетом премий (5</w:t>
            </w:r>
            <w:r w:rsidR="00CA5B03" w:rsidRPr="00887872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8514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4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4"/>
        <w:jc w:val="center"/>
      </w:pPr>
    </w:p>
    <w:p w:rsidR="005B6970" w:rsidRPr="00945EAC" w:rsidRDefault="005B6970" w:rsidP="005B6970">
      <w:pPr>
        <w:pStyle w:val="a4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lastRenderedPageBreak/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F15C95" w:rsidP="005B6970">
      <w:pPr>
        <w:pStyle w:val="a4"/>
        <w:jc w:val="center"/>
      </w:pPr>
      <w:r>
        <w:rPr>
          <w:color w:val="000000"/>
        </w:rPr>
        <w:t xml:space="preserve">8514 </w:t>
      </w:r>
      <w:r w:rsidR="005B6970">
        <w:t xml:space="preserve">• 10 : 100 = </w:t>
      </w:r>
      <w:r>
        <w:t>851,4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r w:rsidR="005B6970">
        <w:t xml:space="preserve"> )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4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E53211" w:rsidRDefault="00E53211" w:rsidP="005B6970">
      <w:pPr>
        <w:pStyle w:val="a4"/>
        <w:rPr>
          <w:color w:val="000000"/>
        </w:rPr>
      </w:pP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F15C95">
        <w:rPr>
          <w:color w:val="000000"/>
        </w:rPr>
        <w:t xml:space="preserve">8514 </w:t>
      </w:r>
      <w:r w:rsidR="005B6970">
        <w:t xml:space="preserve">+ </w:t>
      </w:r>
      <w:r w:rsidR="00F15C95">
        <w:t>851,4</w:t>
      </w:r>
      <w:r w:rsidR="005B6970">
        <w:t xml:space="preserve">) • (34 + 0,6) : 100 = </w:t>
      </w:r>
      <w:r w:rsidR="00F3460B">
        <w:t>3240,43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  <w:rPr>
          <w:color w:val="000000"/>
        </w:rPr>
      </w:pPr>
    </w:p>
    <w:p w:rsidR="005B6970" w:rsidRDefault="005B6970" w:rsidP="005B6970">
      <w:pPr>
        <w:pStyle w:val="a4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4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4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="0025112D">
        <w:rPr>
          <w:spacing w:val="-2"/>
        </w:rPr>
        <w:t>0,8</w:t>
      </w:r>
      <w:r>
        <w:rPr>
          <w:spacing w:val="-2"/>
        </w:rPr>
        <w:t xml:space="preserve"> • </w:t>
      </w:r>
      <w:r w:rsidR="0025112D">
        <w:t>22400</w:t>
      </w:r>
      <w:r>
        <w:t xml:space="preserve"> • 12 : 100 = </w:t>
      </w:r>
      <w:r w:rsidR="0025112D">
        <w:t>2150,4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="0025112D">
        <w:rPr>
          <w:color w:val="000000"/>
        </w:rPr>
        <w:t xml:space="preserve">8514 </w:t>
      </w:r>
      <w:r>
        <w:t xml:space="preserve">• 110 : 100 = </w:t>
      </w:r>
      <w:r w:rsidR="0025112D">
        <w:t>9365,4</w:t>
      </w:r>
      <w:r>
        <w:t xml:space="preserve"> руб.</w:t>
      </w:r>
    </w:p>
    <w:p w:rsidR="005B6970" w:rsidRDefault="005B6970" w:rsidP="005B6970">
      <w:pPr>
        <w:pStyle w:val="a4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(Сп) определяются следующим образом:</w:t>
      </w:r>
    </w:p>
    <w:p w:rsidR="005B6970" w:rsidRDefault="005B6970" w:rsidP="005B6970">
      <w:pPr>
        <w:pStyle w:val="a4"/>
        <w:ind w:right="-74" w:firstLine="0"/>
        <w:jc w:val="center"/>
      </w:pPr>
      <w:r w:rsidRPr="00917DFE">
        <w:t>Сп = Зо + Зд + Рсоц + Рм + Рнакл</w:t>
      </w:r>
    </w:p>
    <w:p w:rsidR="005B6970" w:rsidRDefault="005B6970" w:rsidP="005B6970">
      <w:pPr>
        <w:pStyle w:val="a4"/>
        <w:ind w:right="-74" w:firstLine="0"/>
        <w:jc w:val="center"/>
      </w:pPr>
      <w:r>
        <w:t xml:space="preserve">Сп = </w:t>
      </w:r>
      <w:r w:rsidR="00112C7F">
        <w:rPr>
          <w:color w:val="000000"/>
        </w:rPr>
        <w:t xml:space="preserve">8514 </w:t>
      </w:r>
      <w:r w:rsidRPr="00114C61">
        <w:t xml:space="preserve">+ </w:t>
      </w:r>
      <w:r w:rsidR="00112C7F">
        <w:rPr>
          <w:color w:val="000000"/>
        </w:rPr>
        <w:t xml:space="preserve">851,4 </w:t>
      </w:r>
      <w:r w:rsidRPr="00114C61">
        <w:t>+</w:t>
      </w:r>
      <w:r>
        <w:t xml:space="preserve"> </w:t>
      </w:r>
      <w:r w:rsidR="00F3460B">
        <w:t xml:space="preserve">3240,43 </w:t>
      </w:r>
      <w:r>
        <w:t xml:space="preserve">+ </w:t>
      </w:r>
      <w:r w:rsidR="00112C7F">
        <w:t xml:space="preserve">2150,4 </w:t>
      </w:r>
      <w:r>
        <w:t xml:space="preserve">+ </w:t>
      </w:r>
      <w:r w:rsidR="00112C7F">
        <w:t xml:space="preserve">9365,4 </w:t>
      </w:r>
      <w:r>
        <w:t xml:space="preserve">= </w:t>
      </w:r>
      <w:r w:rsidR="00F3460B">
        <w:t>24121,63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4"/>
      </w:pPr>
      <w:r w:rsidRPr="00917DFE">
        <w:t>Затраты на сопровождение и адаптацию (Рса)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F3460B">
        <w:t>24121,63</w:t>
      </w:r>
      <w:r w:rsidR="00F3460B" w:rsidRPr="00917DFE">
        <w:t xml:space="preserve"> </w:t>
      </w:r>
      <w:r>
        <w:t xml:space="preserve">• 5 : 100 = </w:t>
      </w:r>
      <w:r w:rsidR="00F3460B">
        <w:t>1206,08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lastRenderedPageBreak/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41"/>
              <w:jc w:val="center"/>
            </w:pPr>
            <w:r w:rsidRPr="00917DFE">
              <w:t>Споб = Сп + Рса</w:t>
            </w:r>
          </w:p>
          <w:p w:rsidR="005B6970" w:rsidRPr="00917DFE" w:rsidRDefault="005B6970" w:rsidP="00F3460B">
            <w:pPr>
              <w:pStyle w:val="a4"/>
              <w:ind w:firstLine="41"/>
              <w:jc w:val="center"/>
            </w:pPr>
            <w:r w:rsidRPr="00917DFE">
              <w:t xml:space="preserve">Споб = </w:t>
            </w:r>
            <w:r w:rsidR="00F3460B">
              <w:t>24121,63</w:t>
            </w:r>
            <w:r w:rsidR="00F3460B" w:rsidRPr="00917DFE">
              <w:t xml:space="preserve"> </w:t>
            </w:r>
            <w:r w:rsidRPr="00917DFE">
              <w:t xml:space="preserve">+ </w:t>
            </w:r>
            <w:r w:rsidR="00F3460B">
              <w:t xml:space="preserve">1206,08 </w:t>
            </w:r>
            <w:r w:rsidRPr="00917DFE">
              <w:t xml:space="preserve">= </w:t>
            </w:r>
            <w:r w:rsidR="00F3460B">
              <w:t>25327,71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• 15 : 100 = </w:t>
      </w:r>
      <w:r w:rsidR="00F3460B">
        <w:t>3799,16</w:t>
      </w:r>
      <w:r>
        <w:t xml:space="preserve"> руб.</w:t>
      </w:r>
    </w:p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r>
        <w:t xml:space="preserve"> :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4"/>
        <w:jc w:val="center"/>
      </w:pPr>
      <w:r>
        <w:t>НДС = (</w:t>
      </w:r>
      <w:r w:rsidR="00F3460B">
        <w:t>25327,71</w:t>
      </w:r>
      <w:r w:rsidR="00F3460B" w:rsidRPr="00917DFE">
        <w:t xml:space="preserve"> </w:t>
      </w:r>
      <w:r w:rsidR="00461E65">
        <w:t xml:space="preserve">+ </w:t>
      </w:r>
      <w:r w:rsidR="00F3460B">
        <w:t>3799,16</w:t>
      </w:r>
      <w:r>
        <w:t xml:space="preserve">) • 20 : 100 = </w:t>
      </w:r>
      <w:r w:rsidR="00F3460B">
        <w:t>5825,37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Default="005B6970" w:rsidP="005B6970">
      <w:pPr>
        <w:pStyle w:val="a4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 w:rsidR="00F04A0B">
        <w:rPr>
          <w:vertAlign w:val="subscript"/>
        </w:rPr>
        <w:t>П</w:t>
      </w:r>
      <w:r>
        <w:t xml:space="preserve"> + НДС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+ </w:t>
      </w:r>
      <w:r w:rsidR="00F3460B">
        <w:t xml:space="preserve">3799,16 </w:t>
      </w:r>
      <w:r>
        <w:t xml:space="preserve">+ </w:t>
      </w:r>
      <w:r w:rsidR="00F3460B">
        <w:t xml:space="preserve">5825,37 </w:t>
      </w:r>
      <w:r>
        <w:t xml:space="preserve">= </w:t>
      </w:r>
      <w:r w:rsidR="00F3460B">
        <w:t>34952,24</w:t>
      </w:r>
      <w:bookmarkStart w:id="5" w:name="_GoBack"/>
      <w:bookmarkEnd w:id="5"/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Heading2"/>
      </w:pPr>
      <w:bookmarkStart w:id="6" w:name="_Toc482137046"/>
      <w:r>
        <w:t>4.4 Расчет стоимостной оценки затрат</w:t>
      </w:r>
      <w:bookmarkEnd w:id="6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Pr="00461E65">
        <w:t>53587222</w:t>
      </w:r>
      <w:r>
        <w:t xml:space="preserve"> • 10 : 100 = </w:t>
      </w:r>
      <w:r w:rsidRPr="003848E3">
        <w:t>5</w:t>
      </w:r>
      <w:r>
        <w:t>358722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lastRenderedPageBreak/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CD0D85">
        <w:t>7395036</w:t>
      </w:r>
      <w:r w:rsidR="00CD0D85" w:rsidRPr="00E914B1">
        <w:t>7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 xml:space="preserve">+ </w:t>
      </w:r>
      <w:r w:rsidRPr="003848E3">
        <w:t>5</w:t>
      </w:r>
      <w:r>
        <w:t>358722</w:t>
      </w:r>
      <w:r w:rsidR="00CA5B03" w:rsidRPr="008D7BCA">
        <w:rPr>
          <w:szCs w:val="28"/>
        </w:rPr>
        <w:t xml:space="preserve"> = </w:t>
      </w:r>
      <w:r w:rsidR="00CD0D85">
        <w:rPr>
          <w:szCs w:val="28"/>
        </w:rPr>
        <w:t>79309089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Heading2"/>
      </w:pPr>
      <w:bookmarkStart w:id="7" w:name="_Toc482137047"/>
      <w:r>
        <w:t>4.5 Расчет стоимостной оценки результата</w:t>
      </w:r>
      <w:bookmarkEnd w:id="7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 обработки заявки на ремонт и выполнение работ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предприятие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заявок на обслуживание 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 :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>
        <w:rPr>
          <w:spacing w:val="-14"/>
          <w:szCs w:val="28"/>
        </w:rPr>
        <w:t xml:space="preserve">950000 </w:t>
      </w:r>
      <w:r>
        <w:t>• (5,5 – 3,5) : 8 : 22 • 1,4 = 15114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3A2723" w:rsidRDefault="003A2723" w:rsidP="003A2723">
      <w:pPr>
        <w:pStyle w:val="a4"/>
      </w:pPr>
      <w:r w:rsidRPr="00917DFE">
        <w:lastRenderedPageBreak/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3A2723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15114 • 10 : 100 = 1511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4"/>
        <w:jc w:val="center"/>
      </w:pPr>
      <w:r>
        <w:t>С</w:t>
      </w:r>
      <w:r>
        <w:rPr>
          <w:vertAlign w:val="subscript"/>
        </w:rPr>
        <w:t>З</w:t>
      </w:r>
      <w:r>
        <w:t xml:space="preserve"> = (15114 + </w:t>
      </w:r>
      <w:r w:rsidRPr="00280CA9">
        <w:t>1</w:t>
      </w:r>
      <w:r>
        <w:t xml:space="preserve">511) • 1700 = </w:t>
      </w:r>
      <w:r w:rsidRPr="003614CD">
        <w:t>28262500</w:t>
      </w:r>
      <w:r>
        <w:t xml:space="preserve">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r>
        <w:rPr>
          <w:szCs w:val="28"/>
        </w:rPr>
        <w:t>Нсоц</w:t>
      </w:r>
      <w:r w:rsidRPr="001766EB">
        <w:t xml:space="preserve"> </w:t>
      </w:r>
      <w:r>
        <w:t xml:space="preserve"> :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4"/>
        <w:rPr>
          <w:color w:val="000000"/>
        </w:rPr>
      </w:pPr>
      <w:r w:rsidRPr="0039441F">
        <w:t xml:space="preserve">где </w:t>
      </w:r>
      <w:r>
        <w:t>Нсоц</w:t>
      </w:r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r w:rsidRPr="003248E2">
        <w:rPr>
          <w:szCs w:val="28"/>
        </w:rPr>
        <w:t xml:space="preserve">Соз = </w:t>
      </w:r>
      <w:r w:rsidRPr="003614CD">
        <w:rPr>
          <w:szCs w:val="28"/>
        </w:rPr>
        <w:t>28262500</w:t>
      </w:r>
      <w:r>
        <w:t xml:space="preserve"> • (34 + 0,6) : 100</w:t>
      </w:r>
      <w:r w:rsidRPr="003248E2">
        <w:rPr>
          <w:szCs w:val="28"/>
        </w:rPr>
        <w:t xml:space="preserve"> = </w:t>
      </w:r>
      <w:r w:rsidRPr="003614CD">
        <w:rPr>
          <w:szCs w:val="28"/>
        </w:rPr>
        <w:t>9778825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4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  <w:t>Ц</w:t>
      </w:r>
      <w:r>
        <w:rPr>
          <w:szCs w:val="28"/>
        </w:rPr>
        <w:t>м</w:t>
      </w:r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r w:rsidRPr="0039441F">
        <w:rPr>
          <w:szCs w:val="28"/>
        </w:rPr>
        <w:t>М</w:t>
      </w:r>
      <w:r>
        <w:rPr>
          <w:szCs w:val="28"/>
        </w:rPr>
        <w:t>вс</w:t>
      </w:r>
      <w:r w:rsidRPr="0039441F">
        <w:rPr>
          <w:szCs w:val="28"/>
        </w:rPr>
        <w:t>, М</w:t>
      </w:r>
      <w:r>
        <w:rPr>
          <w:szCs w:val="28"/>
        </w:rPr>
        <w:t>вн</w:t>
      </w:r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980 </w:t>
      </w:r>
      <w:r>
        <w:t xml:space="preserve">• (5,5 – 3,5) = </w:t>
      </w:r>
      <w:r w:rsidRPr="003614CD">
        <w:t>1960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1960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3332000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lastRenderedPageBreak/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С</w:t>
      </w:r>
      <w:r>
        <w:rPr>
          <w:szCs w:val="28"/>
        </w:rPr>
        <w:t>мте</w:t>
      </w:r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М</w:t>
      </w:r>
      <w:r>
        <w:rPr>
          <w:szCs w:val="28"/>
        </w:rPr>
        <w:t>тс</w:t>
      </w:r>
      <w:r w:rsidRPr="0039441F">
        <w:rPr>
          <w:szCs w:val="28"/>
        </w:rPr>
        <w:t>, М</w:t>
      </w:r>
      <w:r>
        <w:rPr>
          <w:szCs w:val="28"/>
        </w:rPr>
        <w:t>тн</w:t>
      </w:r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мте</w:t>
      </w:r>
      <w:r w:rsidRPr="0039441F">
        <w:rPr>
          <w:szCs w:val="28"/>
        </w:rPr>
        <w:t xml:space="preserve"> = </w:t>
      </w:r>
      <w:r>
        <w:rPr>
          <w:szCs w:val="28"/>
        </w:rPr>
        <w:t>1</w:t>
      </w:r>
      <w:r w:rsidRPr="0039441F">
        <w:rPr>
          <w:szCs w:val="28"/>
        </w:rPr>
        <w:t>3</w:t>
      </w:r>
      <w:r>
        <w:rPr>
          <w:szCs w:val="28"/>
        </w:rPr>
        <w:t>9</w:t>
      </w:r>
      <w:r w:rsidRPr="0039441F">
        <w:rPr>
          <w:szCs w:val="28"/>
        </w:rPr>
        <w:t xml:space="preserve">0 – </w:t>
      </w:r>
      <w:r>
        <w:rPr>
          <w:szCs w:val="28"/>
        </w:rPr>
        <w:t>1</w:t>
      </w:r>
      <w:r w:rsidRPr="0039441F">
        <w:rPr>
          <w:szCs w:val="28"/>
        </w:rPr>
        <w:t>2</w:t>
      </w:r>
      <w:r>
        <w:rPr>
          <w:szCs w:val="28"/>
        </w:rPr>
        <w:t>40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150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(С</w:t>
      </w:r>
      <w:r w:rsidRPr="0039441F">
        <w:rPr>
          <w:szCs w:val="28"/>
          <w:vertAlign w:val="subscript"/>
        </w:rPr>
        <w:t>мт</w:t>
      </w:r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1</w:t>
      </w:r>
      <w:r>
        <w:rPr>
          <w:szCs w:val="28"/>
        </w:rPr>
        <w:t>50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Pr="00FE6433">
        <w:rPr>
          <w:szCs w:val="28"/>
        </w:rPr>
        <w:t>255000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BC14AB" w:rsidRPr="003614CD">
        <w:t>28262500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9778825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3332000</w:t>
      </w:r>
      <w:r w:rsidRPr="003248E2">
        <w:rPr>
          <w:szCs w:val="28"/>
        </w:rPr>
        <w:t xml:space="preserve"> + </w:t>
      </w:r>
      <w:r w:rsidRPr="00FE6433">
        <w:rPr>
          <w:szCs w:val="28"/>
        </w:rPr>
        <w:t>255000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BC14AB" w:rsidRPr="00BC14AB">
        <w:rPr>
          <w:szCs w:val="28"/>
        </w:rPr>
        <w:t>41628325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– (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• 18 : 100) = </w:t>
      </w:r>
      <w:r w:rsidR="00C85C6D">
        <w:rPr>
          <w:szCs w:val="28"/>
        </w:rPr>
        <w:t>34135227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</w:t>
      </w:r>
      <w:r w:rsidRPr="00244EED">
        <w:rPr>
          <w:szCs w:val="28"/>
        </w:rPr>
        <w:lastRenderedPageBreak/>
        <w:t>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35pt;height:46.9pt" o:ole="" fillcolor="window">
            <v:imagedata r:id="rId20" o:title=""/>
          </v:shape>
          <o:OLEObject Type="Embed" ProgID="Equation.3" ShapeID="_x0000_i1032" DrawAspect="Content" ObjectID="_1585817599" r:id="rId21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номер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2"/>
      </w:pPr>
      <w:r w:rsidRPr="00D60B84">
        <w:t xml:space="preserve">Коэффициентам приведения по годам </w:t>
      </w:r>
      <w:r w:rsidR="006A2366">
        <w:t>(2013</w:t>
      </w:r>
      <w:r>
        <w:t xml:space="preserve"> – 20</w:t>
      </w:r>
      <w:r w:rsidR="006A2366">
        <w:t>16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0,71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0,51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 xml:space="preserve">0,36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lastRenderedPageBreak/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A2723" w:rsidRDefault="003A2723" w:rsidP="00AF21F8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33" type="#_x0000_t75" style="width:68.65pt;height:45.2pt" o:ole="" fillcolor="window">
            <v:imagedata r:id="rId22" o:title=""/>
          </v:shape>
          <o:OLEObject Type="Embed" ProgID="Equation.3" ShapeID="_x0000_i1033" DrawAspect="Content" ObjectID="_1585817600" r:id="rId23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общее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>) по таблицам, приведенным в приложении 3. Нормативная трудоемкость 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34" type="#_x0000_t75" style="width:83.7pt;height:18.4pt" o:ole="" fillcolor="window">
            <v:imagedata r:id="rId24" o:title=""/>
          </v:shape>
          <o:OLEObject Type="Embed" ProgID="Equation.3" ShapeID="_x0000_i1034" DrawAspect="Content" ObjectID="_1585817601" r:id="rId25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vertAlign w:val="subscript"/>
        </w:rPr>
        <w:t>О</w:t>
      </w:r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5" type="#_x0000_t75" style="width:66.15pt;height:45.2pt" o:ole="" fillcolor="window">
            <v:imagedata r:id="rId26" o:title=""/>
          </v:shape>
          <o:OLEObject Type="Embed" ProgID="Equation.3" ShapeID="_x0000_i1035" DrawAspect="Content" ObjectID="_1585817602" r:id="rId27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количество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6" type="#_x0000_t75" style="width:146.5pt;height:18.4pt" o:ole="" fillcolor="window">
            <v:imagedata r:id="rId28" o:title=""/>
          </v:shape>
          <o:OLEObject Type="Embed" ProgID="Equation.3" ShapeID="_x0000_i1036" DrawAspect="Content" ObjectID="_1585817603" r:id="rId29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lastRenderedPageBreak/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>). В том случае, когда объединяются стадии «Технический проект» и «Рабочий проект» в одну стадию «Технорабочий проект», трудоемкость «Технорабочего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7" type="#_x0000_t75" style="width:150.7pt;height:21.75pt" o:ole="" fillcolor="window">
            <v:imagedata r:id="rId30" o:title=""/>
          </v:shape>
          <o:OLEObject Type="Embed" ProgID="Equation.3" ShapeID="_x0000_i1037" DrawAspect="Content" ObjectID="_1585817604" r:id="rId31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«Технорабочий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8" type="#_x0000_t75" style="width:101.3pt;height:44.35pt" o:ole="" fillcolor="window">
            <v:imagedata r:id="rId32" o:title=""/>
          </v:shape>
          <o:OLEObject Type="Embed" ProgID="Equation.3" ShapeID="_x0000_i1038" DrawAspect="Content" ObjectID="_1585817605" r:id="rId33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9" type="#_x0000_t75" style="width:112.2pt;height:45.2pt" o:ole="" fillcolor="window">
            <v:imagedata r:id="rId34" o:title=""/>
          </v:shape>
          <o:OLEObject Type="Embed" ProgID="Equation.3" ShapeID="_x0000_i1039" DrawAspect="Content" ObjectID="_1585817606" r:id="rId35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lastRenderedPageBreak/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число стадий.</w:t>
      </w:r>
    </w:p>
    <w:p w:rsidR="001438A6" w:rsidRPr="00442577" w:rsidRDefault="001438A6" w:rsidP="001438A6">
      <w:pPr>
        <w:ind w:firstLine="708"/>
      </w:pPr>
      <w:r w:rsidRPr="00442577"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Heading2"/>
        <w:rPr>
          <w:b w:val="0"/>
          <w:bCs/>
        </w:rPr>
      </w:pPr>
      <w:r w:rsidRPr="00143322">
        <w:rPr>
          <w:b w:val="0"/>
          <w:bCs/>
        </w:rPr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Heading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Heading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Heading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Heading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Heading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>ПС методоориентирован</w:t>
            </w:r>
            <w:r w:rsidR="000B7110">
              <w:t>-</w:t>
            </w:r>
            <w:r w:rsidRPr="00442577">
              <w:t>ных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оптимизационных расчетов (обеспечивают решение различного класса задач оптимального 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Heading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</w:rPr>
              <w:t>Builder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 прерываний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Heading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 xml:space="preserve">Укрупненные нормы времени на разработку ПС ВТ (Тн)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Объем ПС ВТ (строк усл.маш.команд)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Caption"/>
        <w:rPr>
          <w:sz w:val="24"/>
        </w:rPr>
      </w:pPr>
    </w:p>
    <w:p w:rsidR="001438A6" w:rsidRPr="00442577" w:rsidRDefault="001438A6" w:rsidP="001438A6">
      <w:pPr>
        <w:pStyle w:val="Caption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Heading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54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7"/>
        <w:gridCol w:w="2002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Значения 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6"/>
        <w:gridCol w:w="2417"/>
        <w:gridCol w:w="2418"/>
        <w:gridCol w:w="2418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Heading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(К</w:t>
      </w:r>
      <w:r w:rsidRPr="00442577">
        <w:rPr>
          <w:vertAlign w:val="subscript"/>
        </w:rPr>
        <w:t>н</w:t>
      </w:r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н</w:t>
            </w:r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2"/>
        <w:gridCol w:w="1887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т</w:t>
            </w:r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BodyText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048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применения </w:t>
            </w:r>
            <w:r w:rsidRPr="00442577">
              <w:lastRenderedPageBreak/>
              <w:t>программного средства (К</w:t>
            </w:r>
            <w:r w:rsidRPr="00442577">
              <w:rPr>
                <w:vertAlign w:val="subscript"/>
              </w:rPr>
              <w:t>пс</w:t>
            </w:r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lastRenderedPageBreak/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3.Программные средства методо-ориентированных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>*Значения К</w:t>
      </w:r>
      <w:r w:rsidRPr="00442577">
        <w:rPr>
          <w:vertAlign w:val="subscript"/>
        </w:rPr>
        <w:t>пс</w:t>
      </w:r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  <w:gridCol w:w="2347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416B9"/>
    <w:rsid w:val="00057071"/>
    <w:rsid w:val="000848FD"/>
    <w:rsid w:val="0009292C"/>
    <w:rsid w:val="000B022F"/>
    <w:rsid w:val="000B7110"/>
    <w:rsid w:val="00112C7F"/>
    <w:rsid w:val="00116BC9"/>
    <w:rsid w:val="001327DC"/>
    <w:rsid w:val="001438A6"/>
    <w:rsid w:val="00147AFE"/>
    <w:rsid w:val="001766EB"/>
    <w:rsid w:val="00202DF7"/>
    <w:rsid w:val="00231E39"/>
    <w:rsid w:val="00247B85"/>
    <w:rsid w:val="0025112D"/>
    <w:rsid w:val="00280CA9"/>
    <w:rsid w:val="00282289"/>
    <w:rsid w:val="0028745B"/>
    <w:rsid w:val="00323C26"/>
    <w:rsid w:val="003830CB"/>
    <w:rsid w:val="003848E3"/>
    <w:rsid w:val="003973D3"/>
    <w:rsid w:val="003A2723"/>
    <w:rsid w:val="003E775F"/>
    <w:rsid w:val="0040132A"/>
    <w:rsid w:val="00461E65"/>
    <w:rsid w:val="004721E6"/>
    <w:rsid w:val="004C5A3E"/>
    <w:rsid w:val="0051231C"/>
    <w:rsid w:val="005551FD"/>
    <w:rsid w:val="005654A3"/>
    <w:rsid w:val="0057549E"/>
    <w:rsid w:val="00596039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C7379"/>
    <w:rsid w:val="00760BE3"/>
    <w:rsid w:val="00776710"/>
    <w:rsid w:val="007A7969"/>
    <w:rsid w:val="008001B1"/>
    <w:rsid w:val="00813CA8"/>
    <w:rsid w:val="008221BB"/>
    <w:rsid w:val="0083084E"/>
    <w:rsid w:val="008703EF"/>
    <w:rsid w:val="00887872"/>
    <w:rsid w:val="008C5F01"/>
    <w:rsid w:val="008D7BCA"/>
    <w:rsid w:val="008E5B3D"/>
    <w:rsid w:val="008F50CF"/>
    <w:rsid w:val="00902A26"/>
    <w:rsid w:val="00940C0B"/>
    <w:rsid w:val="00974E6A"/>
    <w:rsid w:val="00984C0E"/>
    <w:rsid w:val="009E5488"/>
    <w:rsid w:val="00A4595F"/>
    <w:rsid w:val="00A66379"/>
    <w:rsid w:val="00A77D1A"/>
    <w:rsid w:val="00AB0841"/>
    <w:rsid w:val="00AF21F8"/>
    <w:rsid w:val="00BB5A66"/>
    <w:rsid w:val="00BC14AB"/>
    <w:rsid w:val="00C54268"/>
    <w:rsid w:val="00C85C6D"/>
    <w:rsid w:val="00CA5B03"/>
    <w:rsid w:val="00CC2D02"/>
    <w:rsid w:val="00CD0D85"/>
    <w:rsid w:val="00D050B7"/>
    <w:rsid w:val="00D60AC3"/>
    <w:rsid w:val="00D7243D"/>
    <w:rsid w:val="00DA6B83"/>
    <w:rsid w:val="00E53211"/>
    <w:rsid w:val="00E67135"/>
    <w:rsid w:val="00E8678F"/>
    <w:rsid w:val="00E914B1"/>
    <w:rsid w:val="00E94450"/>
    <w:rsid w:val="00ED3E89"/>
    <w:rsid w:val="00ED5950"/>
    <w:rsid w:val="00EF1120"/>
    <w:rsid w:val="00EF26FB"/>
    <w:rsid w:val="00EF70C8"/>
    <w:rsid w:val="00F04A0B"/>
    <w:rsid w:val="00F15C95"/>
    <w:rsid w:val="00F3460B"/>
    <w:rsid w:val="00F356DB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C6F8-BD1F-46B5-A7E3-D634382D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29</Pages>
  <Words>5070</Words>
  <Characters>28905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8</cp:revision>
  <dcterms:created xsi:type="dcterms:W3CDTF">2018-04-21T10:55:00Z</dcterms:created>
  <dcterms:modified xsi:type="dcterms:W3CDTF">2018-04-21T16:07:00Z</dcterms:modified>
</cp:coreProperties>
</file>