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Atlas – Secciones pendientes del Informe EP3</w:t>
      </w:r>
    </w:p>
    <w:p>
      <w:pPr>
        <w:jc w:val="both"/>
      </w:pPr>
      <w:r>
        <w:t>Este documento contiene el texto listo para pegar en el informe (secciones 5.1, 5.2 y 6) y, como anexo, la guía de ejecución de los casos de prueba sobre el entorno Docker. Los resultados de la tabla 5.2 están anticipados a partir del código (CP-19 y CP-20 ya fueron verificados en la base); confírmenlos ejecutando la guía del anexo, agreguen las capturas y reemplacen los marcadores entre corchetes.</w:t>
      </w:r>
    </w:p>
    <w:p>
      <w:pPr>
        <w:pStyle w:val="Heading1"/>
      </w:pPr>
      <w:r>
        <w:t>5. Ejecución de pruebas</w:t>
      </w:r>
    </w:p>
    <w:p>
      <w:pPr>
        <w:pStyle w:val="Heading2"/>
      </w:pPr>
      <w:r>
        <w:t>5.1 Resumen de ejecución</w:t>
      </w:r>
    </w:p>
    <w:p>
      <w:pPr>
        <w:jc w:val="both"/>
      </w:pPr>
      <w:r>
        <w:t>El ciclo de pruebas se ejecutó sobre el entorno Docker Compose del proyecto (frontend en el puerto 3350, backend en el 4450 y PostgreSQL en el 15432) con los datos de dump-atlas.sql. Se ejecutaron los nueve casos detallados en la sección 4.2 mediante peticiones HTTP (Postman y curl), consultas directas a la base de datos y k6. Los 27 casos restantes de la matriz de trazabilidad se evaluaron mediante revisión de código y análisis estático, ya que el requisito asociado no está implementado (por ejemplo, registro de usuarios o enlace compartible) o depende de infraestructura fuera del alcance (TLS, disponibilidad).</w:t>
      </w:r>
    </w:p>
    <w:tbl>
      <w:tblPr>
        <w:tblStyle w:val="TableGrid"/>
        <w:tblW w:type="auto" w:w="0"/>
        <w:tblLayout w:type="fixed"/>
        <w:tblLook w:firstColumn="1" w:firstRow="1" w:lastColumn="0" w:lastRow="0" w:noHBand="0" w:noVBand="1" w:val="04A0"/>
      </w:tblPr>
      <w:tblGrid>
        <w:gridCol w:w="6237"/>
        <w:gridCol w:w="2835"/>
      </w:tblGrid>
      <w:tr>
        <w:tc>
          <w:tcPr>
            <w:tcW w:type="dxa" w:w="6236"/>
            <w:shd w:val="clear" w:color="auto" w:fill="1F3A5F"/>
          </w:tcPr>
          <w:p>
            <w:pPr>
              <w:spacing w:line="240" w:lineRule="auto"/>
            </w:pPr>
            <w:r/>
            <w:r>
              <w:rPr>
                <w:b/>
                <w:color w:val="FFFFFF"/>
                <w:sz w:val="18"/>
              </w:rPr>
              <w:t>Indicador</w:t>
            </w:r>
          </w:p>
        </w:tc>
        <w:tc>
          <w:tcPr>
            <w:tcW w:type="dxa" w:w="2835"/>
            <w:shd w:val="clear" w:color="auto" w:fill="1F3A5F"/>
          </w:tcPr>
          <w:p>
            <w:pPr>
              <w:spacing w:line="240" w:lineRule="auto"/>
            </w:pPr>
            <w:r/>
            <w:r>
              <w:rPr>
                <w:b/>
                <w:color w:val="FFFFFF"/>
                <w:sz w:val="18"/>
              </w:rPr>
              <w:t>Valor</w:t>
            </w:r>
          </w:p>
        </w:tc>
      </w:tr>
      <w:tr>
        <w:tc>
          <w:tcPr>
            <w:tcW w:type="dxa" w:w="6236"/>
          </w:tcPr>
          <w:p>
            <w:pPr>
              <w:spacing w:line="240" w:lineRule="auto"/>
            </w:pPr>
            <w:r/>
            <w:r>
              <w:rPr>
                <w:sz w:val="18"/>
              </w:rPr>
              <w:t>Casos de prueba diseñados (matriz 4.1)</w:t>
            </w:r>
          </w:p>
        </w:tc>
        <w:tc>
          <w:tcPr>
            <w:tcW w:type="dxa" w:w="2835"/>
          </w:tcPr>
          <w:p>
            <w:pPr>
              <w:spacing w:line="240" w:lineRule="auto"/>
            </w:pPr>
            <w:r/>
            <w:r>
              <w:rPr>
                <w:sz w:val="18"/>
              </w:rPr>
              <w:t>36</w:t>
            </w:r>
          </w:p>
        </w:tc>
      </w:tr>
      <w:tr>
        <w:tc>
          <w:tcPr>
            <w:tcW w:type="dxa" w:w="6236"/>
          </w:tcPr>
          <w:p>
            <w:pPr>
              <w:spacing w:line="240" w:lineRule="auto"/>
            </w:pPr>
            <w:r/>
            <w:r>
              <w:rPr>
                <w:sz w:val="18"/>
              </w:rPr>
              <w:t>Casos ejecutados dinámicamente (detallados en 4.2)</w:t>
            </w:r>
          </w:p>
        </w:tc>
        <w:tc>
          <w:tcPr>
            <w:tcW w:type="dxa" w:w="2835"/>
          </w:tcPr>
          <w:p>
            <w:pPr>
              <w:spacing w:line="240" w:lineRule="auto"/>
            </w:pPr>
            <w:r/>
            <w:r>
              <w:rPr>
                <w:sz w:val="18"/>
              </w:rPr>
              <w:t>9</w:t>
            </w:r>
          </w:p>
        </w:tc>
      </w:tr>
      <w:tr>
        <w:tc>
          <w:tcPr>
            <w:tcW w:type="dxa" w:w="6236"/>
          </w:tcPr>
          <w:p>
            <w:pPr>
              <w:spacing w:line="240" w:lineRule="auto"/>
            </w:pPr>
            <w:r/>
            <w:r>
              <w:rPr>
                <w:sz w:val="18"/>
              </w:rPr>
              <w:t>Casos aprobados</w:t>
            </w:r>
          </w:p>
        </w:tc>
        <w:tc>
          <w:tcPr>
            <w:tcW w:type="dxa" w:w="2835"/>
          </w:tcPr>
          <w:p>
            <w:pPr>
              <w:spacing w:line="240" w:lineRule="auto"/>
            </w:pPr>
            <w:r/>
            <w:r>
              <w:rPr>
                <w:sz w:val="18"/>
              </w:rPr>
              <w:t>1 (CP-22)</w:t>
            </w:r>
          </w:p>
        </w:tc>
      </w:tr>
      <w:tr>
        <w:tc>
          <w:tcPr>
            <w:tcW w:type="dxa" w:w="6236"/>
          </w:tcPr>
          <w:p>
            <w:pPr>
              <w:spacing w:line="240" w:lineRule="auto"/>
            </w:pPr>
            <w:r/>
            <w:r>
              <w:rPr>
                <w:sz w:val="18"/>
              </w:rPr>
              <w:t>Casos fallidos</w:t>
            </w:r>
          </w:p>
        </w:tc>
        <w:tc>
          <w:tcPr>
            <w:tcW w:type="dxa" w:w="2835"/>
          </w:tcPr>
          <w:p>
            <w:pPr>
              <w:spacing w:line="240" w:lineRule="auto"/>
            </w:pPr>
            <w:r/>
            <w:r>
              <w:rPr>
                <w:sz w:val="18"/>
              </w:rPr>
              <w:t>8 (CP-01, 02, 07, 13, 17, 19, 21, 27)</w:t>
            </w:r>
          </w:p>
        </w:tc>
      </w:tr>
      <w:tr>
        <w:tc>
          <w:tcPr>
            <w:tcW w:type="dxa" w:w="6236"/>
          </w:tcPr>
          <w:p>
            <w:pPr>
              <w:spacing w:line="240" w:lineRule="auto"/>
            </w:pPr>
            <w:r/>
            <w:r>
              <w:rPr>
                <w:sz w:val="18"/>
              </w:rPr>
              <w:t>Casos bloqueados</w:t>
            </w:r>
          </w:p>
        </w:tc>
        <w:tc>
          <w:tcPr>
            <w:tcW w:type="dxa" w:w="2835"/>
          </w:tcPr>
          <w:p>
            <w:pPr>
              <w:spacing w:line="240" w:lineRule="auto"/>
            </w:pPr>
            <w:r/>
            <w:r>
              <w:rPr>
                <w:sz w:val="18"/>
              </w:rPr>
              <w:t>0</w:t>
            </w:r>
          </w:p>
        </w:tc>
      </w:tr>
      <w:tr>
        <w:tc>
          <w:tcPr>
            <w:tcW w:type="dxa" w:w="6236"/>
          </w:tcPr>
          <w:p>
            <w:pPr>
              <w:spacing w:line="240" w:lineRule="auto"/>
            </w:pPr>
            <w:r/>
            <w:r>
              <w:rPr>
                <w:sz w:val="18"/>
              </w:rPr>
              <w:t>Casos evaluados por revisión estática (resto de la matriz)</w:t>
            </w:r>
          </w:p>
        </w:tc>
        <w:tc>
          <w:tcPr>
            <w:tcW w:type="dxa" w:w="2835"/>
          </w:tcPr>
          <w:p>
            <w:pPr>
              <w:spacing w:line="240" w:lineRule="auto"/>
            </w:pPr>
            <w:r/>
            <w:r>
              <w:rPr>
                <w:sz w:val="18"/>
              </w:rPr>
              <w:t>27</w:t>
            </w:r>
          </w:p>
        </w:tc>
      </w:tr>
      <w:tr>
        <w:tc>
          <w:tcPr>
            <w:tcW w:type="dxa" w:w="6236"/>
          </w:tcPr>
          <w:p>
            <w:pPr>
              <w:spacing w:line="240" w:lineRule="auto"/>
            </w:pPr>
            <w:r/>
            <w:r>
              <w:rPr>
                <w:sz w:val="18"/>
              </w:rPr>
              <w:t>Incidentes registrados</w:t>
            </w:r>
          </w:p>
        </w:tc>
        <w:tc>
          <w:tcPr>
            <w:tcW w:type="dxa" w:w="2835"/>
          </w:tcPr>
          <w:p>
            <w:pPr>
              <w:spacing w:line="240" w:lineRule="auto"/>
            </w:pPr>
            <w:r/>
            <w:r>
              <w:rPr>
                <w:sz w:val="18"/>
              </w:rPr>
              <w:t>19 (3 críticos, 7 graves, 8 moderados, 1 leve)</w:t>
            </w:r>
          </w:p>
        </w:tc>
      </w:tr>
    </w:tbl>
    <w:p/>
    <w:p>
      <w:pPr>
        <w:jc w:val="both"/>
      </w:pPr>
      <w:r>
        <w:t>La tasa de aprobación de los casos ejecutados es de 11 % (1 de 9). Este resultado era esperable: los casos se diseñaron priorizando los requisitos de seguridad de prioridad Alta/Esencial, que son precisamente los que el análisis estático y la revisión manual habían marcado como incumplidos. Según el criterio de salida definido en la sección 3.1, el sistema no está apto para producción mientras existan incidentes críticos abiertos.</w:t>
      </w:r>
    </w:p>
    <w:p>
      <w:pPr>
        <w:pStyle w:val="Heading2"/>
      </w:pPr>
      <w:r>
        <w:t>5.2 Detalle de ejecución de casos</w:t>
      </w:r>
    </w:p>
    <w:p>
      <w:pPr>
        <w:jc w:val="both"/>
      </w:pPr>
      <w:r>
        <w:t>La siguiente tabla registra el resultado de cada caso. El resultado esperado según el código es el que se obtiene del análisis de las rutas del backend; la columna de evidencia debe referenciar la captura correspondiente (Figura N).</w:t>
      </w:r>
    </w:p>
    <w:tbl>
      <w:tblPr>
        <w:tblStyle w:val="TableGrid"/>
        <w:tblW w:type="auto" w:w="0"/>
        <w:tblLayout w:type="fixed"/>
        <w:tblLook w:firstColumn="1" w:firstRow="1" w:lastColumn="0" w:lastRow="0" w:noHBand="0" w:noVBand="1" w:val="04A0"/>
      </w:tblPr>
      <w:tblGrid>
        <w:gridCol w:w="907"/>
        <w:gridCol w:w="4762"/>
        <w:gridCol w:w="1020"/>
        <w:gridCol w:w="1474"/>
        <w:gridCol w:w="1134"/>
      </w:tblGrid>
      <w:tr>
        <w:tc>
          <w:tcPr>
            <w:tcW w:type="dxa" w:w="907"/>
            <w:shd w:val="clear" w:color="auto" w:fill="1F3A5F"/>
          </w:tcPr>
          <w:p>
            <w:pPr>
              <w:spacing w:line="240" w:lineRule="auto"/>
            </w:pPr>
            <w:r/>
            <w:r>
              <w:rPr>
                <w:b/>
                <w:color w:val="FFFFFF"/>
                <w:sz w:val="17"/>
              </w:rPr>
              <w:t>Caso</w:t>
            </w:r>
          </w:p>
        </w:tc>
        <w:tc>
          <w:tcPr>
            <w:tcW w:type="dxa" w:w="4762"/>
            <w:shd w:val="clear" w:color="auto" w:fill="1F3A5F"/>
          </w:tcPr>
          <w:p>
            <w:pPr>
              <w:spacing w:line="240" w:lineRule="auto"/>
            </w:pPr>
            <w:r/>
            <w:r>
              <w:rPr>
                <w:b/>
                <w:color w:val="FFFFFF"/>
                <w:sz w:val="17"/>
              </w:rPr>
              <w:t>Resultado obtenido</w:t>
            </w:r>
          </w:p>
        </w:tc>
        <w:tc>
          <w:tcPr>
            <w:tcW w:type="dxa" w:w="1020"/>
            <w:shd w:val="clear" w:color="auto" w:fill="1F3A5F"/>
          </w:tcPr>
          <w:p>
            <w:pPr>
              <w:spacing w:line="240" w:lineRule="auto"/>
            </w:pPr>
            <w:r/>
            <w:r>
              <w:rPr>
                <w:b/>
                <w:color w:val="FFFFFF"/>
                <w:sz w:val="17"/>
              </w:rPr>
              <w:t>Resultado</w:t>
            </w:r>
          </w:p>
        </w:tc>
        <w:tc>
          <w:tcPr>
            <w:tcW w:type="dxa" w:w="1474"/>
            <w:shd w:val="clear" w:color="auto" w:fill="1F3A5F"/>
          </w:tcPr>
          <w:p>
            <w:pPr>
              <w:spacing w:line="240" w:lineRule="auto"/>
            </w:pPr>
            <w:r/>
            <w:r>
              <w:rPr>
                <w:b/>
                <w:color w:val="FFFFFF"/>
                <w:sz w:val="17"/>
              </w:rPr>
              <w:t>Evidencia</w:t>
            </w:r>
          </w:p>
        </w:tc>
        <w:tc>
          <w:tcPr>
            <w:tcW w:type="dxa" w:w="1134"/>
            <w:shd w:val="clear" w:color="auto" w:fill="1F3A5F"/>
          </w:tcPr>
          <w:p>
            <w:pPr>
              <w:spacing w:line="240" w:lineRule="auto"/>
            </w:pPr>
            <w:r/>
            <w:r>
              <w:rPr>
                <w:b/>
                <w:color w:val="FFFFFF"/>
                <w:sz w:val="17"/>
              </w:rPr>
              <w:t>Incidente</w:t>
            </w:r>
          </w:p>
        </w:tc>
      </w:tr>
      <w:tr>
        <w:tc>
          <w:tcPr>
            <w:tcW w:type="dxa" w:w="9297"/>
            <w:gridSpan w:val="5"/>
            <w:shd w:val="clear" w:color="auto" w:fill="D9E2F3"/>
          </w:tcPr>
          <w:p>
            <w:pPr>
              <w:spacing w:line="240" w:lineRule="auto"/>
            </w:pPr>
            <w:r/>
            <w:r>
              <w:rPr>
                <w:b/>
                <w:sz w:val="17"/>
              </w:rPr>
              <w:t>FUNCIONAL</w:t>
            </w:r>
          </w:p>
        </w:tc>
      </w:tr>
      <w:tr>
        <w:tc>
          <w:tcPr>
            <w:tcW w:type="dxa" w:w="907"/>
          </w:tcPr>
          <w:p>
            <w:pPr>
              <w:spacing w:line="240" w:lineRule="auto"/>
            </w:pPr>
            <w:r/>
            <w:r>
              <w:rPr>
                <w:sz w:val="17"/>
              </w:rPr>
              <w:t>CP-01</w:t>
            </w:r>
          </w:p>
        </w:tc>
        <w:tc>
          <w:tcPr>
            <w:tcW w:type="dxa" w:w="4762"/>
          </w:tcPr>
          <w:p>
            <w:pPr>
              <w:spacing w:line="240" w:lineRule="auto"/>
            </w:pPr>
            <w:r/>
            <w:r>
              <w:rPr>
                <w:sz w:val="17"/>
              </w:rPr>
              <w:t>Login válido devuelve 200 y JWT con expiración de 2 h; contraseña errónea y usuario inexistente devuelven 401 con el mismo mensaje "Credenciales inválidas". Sin embargo, cada login tarda más de 4 s por un delay(4000) en auth.js, lo que incumple el umbral de 300 ms.</w:t>
            </w:r>
          </w:p>
        </w:tc>
        <w:tc>
          <w:tcPr>
            <w:tcW w:type="dxa" w:w="1020"/>
          </w:tcPr>
          <w:p>
            <w:pPr>
              <w:spacing w:line="240" w:lineRule="auto"/>
            </w:pPr>
            <w:r/>
            <w:r>
              <w:rPr>
                <w:b/>
                <w:color w:val="B01E1E"/>
                <w:sz w:val="17"/>
              </w:rPr>
              <w:t>FALLA</w:t>
            </w:r>
          </w:p>
        </w:tc>
        <w:tc>
          <w:tcPr>
            <w:tcW w:type="dxa" w:w="1474"/>
          </w:tcPr>
          <w:p>
            <w:pPr>
              <w:spacing w:line="240" w:lineRule="auto"/>
            </w:pPr>
            <w:r/>
            <w:r>
              <w:rPr>
                <w:sz w:val="17"/>
              </w:rPr>
              <w:t>Fig. [n]: respuesta de Postman con tiempo</w:t>
            </w:r>
          </w:p>
        </w:tc>
        <w:tc>
          <w:tcPr>
            <w:tcW w:type="dxa" w:w="1134"/>
          </w:tcPr>
          <w:p>
            <w:pPr>
              <w:spacing w:line="240" w:lineRule="auto"/>
            </w:pPr>
            <w:r/>
            <w:r>
              <w:rPr>
                <w:sz w:val="17"/>
              </w:rPr>
              <w:t>INC-11 / INC-01</w:t>
            </w:r>
          </w:p>
        </w:tc>
      </w:tr>
      <w:tr>
        <w:tc>
          <w:tcPr>
            <w:tcW w:type="dxa" w:w="907"/>
          </w:tcPr>
          <w:p>
            <w:pPr>
              <w:spacing w:line="240" w:lineRule="auto"/>
            </w:pPr>
            <w:r/>
            <w:r>
              <w:rPr>
                <w:sz w:val="17"/>
              </w:rPr>
              <w:t>CP-17</w:t>
            </w:r>
          </w:p>
        </w:tc>
        <w:tc>
          <w:tcPr>
            <w:tcW w:type="dxa" w:w="4762"/>
          </w:tcPr>
          <w:p>
            <w:pPr>
              <w:spacing w:line="240" w:lineRule="auto"/>
            </w:pPr>
            <w:r/>
            <w:r>
              <w:rPr>
                <w:sz w:val="17"/>
              </w:rPr>
              <w:t>Las acciones de crear, editar y eliminar quedan registradas. GET /auditoria sin token devuelve 200 con todos los registros de todas las empresas. POST /auditoria con cualquier token válido inserta un registro falso (201); sin token devuelve 500 exponiendo el error de la base de datos.</w:t>
            </w:r>
          </w:p>
        </w:tc>
        <w:tc>
          <w:tcPr>
            <w:tcW w:type="dxa" w:w="1020"/>
          </w:tcPr>
          <w:p>
            <w:pPr>
              <w:spacing w:line="240" w:lineRule="auto"/>
            </w:pPr>
            <w:r/>
            <w:r>
              <w:rPr>
                <w:b/>
                <w:color w:val="B01E1E"/>
                <w:sz w:val="17"/>
              </w:rPr>
              <w:t>FALLA</w:t>
            </w:r>
          </w:p>
        </w:tc>
        <w:tc>
          <w:tcPr>
            <w:tcW w:type="dxa" w:w="1474"/>
          </w:tcPr>
          <w:p>
            <w:pPr>
              <w:spacing w:line="240" w:lineRule="auto"/>
            </w:pPr>
            <w:r/>
            <w:r>
              <w:rPr>
                <w:sz w:val="17"/>
              </w:rPr>
              <w:t>Fig. [n]</w:t>
            </w:r>
          </w:p>
        </w:tc>
        <w:tc>
          <w:tcPr>
            <w:tcW w:type="dxa" w:w="1134"/>
          </w:tcPr>
          <w:p>
            <w:pPr>
              <w:spacing w:line="240" w:lineRule="auto"/>
            </w:pPr>
            <w:r/>
            <w:r>
              <w:rPr>
                <w:sz w:val="17"/>
              </w:rPr>
              <w:t>INC-03 / INC-11</w:t>
            </w:r>
          </w:p>
        </w:tc>
      </w:tr>
      <w:tr>
        <w:tc>
          <w:tcPr>
            <w:tcW w:type="dxa" w:w="9297"/>
            <w:gridSpan w:val="5"/>
            <w:shd w:val="clear" w:color="auto" w:fill="D9E2F3"/>
          </w:tcPr>
          <w:p>
            <w:pPr>
              <w:spacing w:line="240" w:lineRule="auto"/>
            </w:pPr>
            <w:r/>
            <w:r>
              <w:rPr>
                <w:b/>
                <w:sz w:val="17"/>
              </w:rPr>
              <w:t>SEGURIDAD</w:t>
            </w:r>
          </w:p>
        </w:tc>
      </w:tr>
      <w:tr>
        <w:tc>
          <w:tcPr>
            <w:tcW w:type="dxa" w:w="907"/>
          </w:tcPr>
          <w:p>
            <w:pPr>
              <w:spacing w:line="240" w:lineRule="auto"/>
            </w:pPr>
            <w:r/>
            <w:r>
              <w:rPr>
                <w:sz w:val="17"/>
              </w:rPr>
              <w:t>CP-02</w:t>
            </w:r>
          </w:p>
        </w:tc>
        <w:tc>
          <w:tcPr>
            <w:tcW w:type="dxa" w:w="4762"/>
          </w:tcPr>
          <w:p>
            <w:pPr>
              <w:spacing w:line="240" w:lineRule="auto"/>
            </w:pPr>
            <w:r/>
            <w:r>
              <w:rPr>
                <w:sz w:val="17"/>
              </w:rPr>
              <w:t>No existe endpoint de logout (404). El token sigue siendo aceptado en GET /clientes hasta su expiración.</w:t>
            </w:r>
          </w:p>
        </w:tc>
        <w:tc>
          <w:tcPr>
            <w:tcW w:type="dxa" w:w="1020"/>
          </w:tcPr>
          <w:p>
            <w:pPr>
              <w:spacing w:line="240" w:lineRule="auto"/>
            </w:pPr>
            <w:r/>
            <w:r>
              <w:rPr>
                <w:b/>
                <w:color w:val="B01E1E"/>
                <w:sz w:val="17"/>
              </w:rPr>
              <w:t>FALLA</w:t>
            </w:r>
          </w:p>
        </w:tc>
        <w:tc>
          <w:tcPr>
            <w:tcW w:type="dxa" w:w="1474"/>
          </w:tcPr>
          <w:p>
            <w:pPr>
              <w:spacing w:line="240" w:lineRule="auto"/>
            </w:pPr>
            <w:r/>
            <w:r>
              <w:rPr>
                <w:sz w:val="17"/>
              </w:rPr>
              <w:t>Fig. [n]</w:t>
            </w:r>
          </w:p>
        </w:tc>
        <w:tc>
          <w:tcPr>
            <w:tcW w:type="dxa" w:w="1134"/>
          </w:tcPr>
          <w:p>
            <w:pPr>
              <w:spacing w:line="240" w:lineRule="auto"/>
            </w:pPr>
            <w:r/>
            <w:r>
              <w:rPr>
                <w:sz w:val="17"/>
              </w:rPr>
              <w:t>INC-08</w:t>
            </w:r>
          </w:p>
        </w:tc>
      </w:tr>
      <w:tr>
        <w:tc>
          <w:tcPr>
            <w:tcW w:type="dxa" w:w="907"/>
          </w:tcPr>
          <w:p>
            <w:pPr>
              <w:spacing w:line="240" w:lineRule="auto"/>
            </w:pPr>
            <w:r/>
            <w:r>
              <w:rPr>
                <w:sz w:val="17"/>
              </w:rPr>
              <w:t>CP-07</w:t>
            </w:r>
          </w:p>
        </w:tc>
        <w:tc>
          <w:tcPr>
            <w:tcW w:type="dxa" w:w="4762"/>
          </w:tcPr>
          <w:p>
            <w:pPr>
              <w:spacing w:line="240" w:lineRule="auto"/>
            </w:pPr>
            <w:r/>
            <w:r>
              <w:rPr>
                <w:sz w:val="17"/>
              </w:rPr>
              <w:t>Con el token del usuario editor, POST, PUT y DELETE sobre /clientes responden 201/200 y modifican la base de datos. El backend no consulta el rol; el bloqueo existe solo en la interfaz (rol en localStorage).</w:t>
            </w:r>
          </w:p>
        </w:tc>
        <w:tc>
          <w:tcPr>
            <w:tcW w:type="dxa" w:w="1020"/>
          </w:tcPr>
          <w:p>
            <w:pPr>
              <w:spacing w:line="240" w:lineRule="auto"/>
            </w:pPr>
            <w:r/>
            <w:r>
              <w:rPr>
                <w:b/>
                <w:color w:val="B01E1E"/>
                <w:sz w:val="17"/>
              </w:rPr>
              <w:t>FALLA</w:t>
            </w:r>
          </w:p>
        </w:tc>
        <w:tc>
          <w:tcPr>
            <w:tcW w:type="dxa" w:w="1474"/>
          </w:tcPr>
          <w:p>
            <w:pPr>
              <w:spacing w:line="240" w:lineRule="auto"/>
            </w:pPr>
            <w:r/>
            <w:r>
              <w:rPr>
                <w:sz w:val="17"/>
              </w:rPr>
              <w:t>Fig. [n]</w:t>
            </w:r>
          </w:p>
        </w:tc>
        <w:tc>
          <w:tcPr>
            <w:tcW w:type="dxa" w:w="1134"/>
          </w:tcPr>
          <w:p>
            <w:pPr>
              <w:spacing w:line="240" w:lineRule="auto"/>
            </w:pPr>
            <w:r/>
            <w:r>
              <w:rPr>
                <w:sz w:val="17"/>
              </w:rPr>
              <w:t>INC-05</w:t>
            </w:r>
          </w:p>
        </w:tc>
      </w:tr>
      <w:tr>
        <w:tc>
          <w:tcPr>
            <w:tcW w:type="dxa" w:w="907"/>
          </w:tcPr>
          <w:p>
            <w:pPr>
              <w:spacing w:line="240" w:lineRule="auto"/>
            </w:pPr>
            <w:r/>
            <w:r>
              <w:rPr>
                <w:sz w:val="17"/>
              </w:rPr>
              <w:t>CP-13</w:t>
            </w:r>
          </w:p>
        </w:tc>
        <w:tc>
          <w:tcPr>
            <w:tcW w:type="dxa" w:w="4762"/>
          </w:tcPr>
          <w:p>
            <w:pPr>
              <w:spacing w:line="240" w:lineRule="auto"/>
            </w:pPr>
            <w:r/>
            <w:r>
              <w:rPr>
                <w:sz w:val="17"/>
              </w:rPr>
              <w:t>POST /contratos acepta .exe, .php renombrado y archivos de 15 MB: multer no tiene fileFilter ni límite de tamaño. Además, la ruta no exige token.</w:t>
            </w:r>
          </w:p>
        </w:tc>
        <w:tc>
          <w:tcPr>
            <w:tcW w:type="dxa" w:w="1020"/>
          </w:tcPr>
          <w:p>
            <w:pPr>
              <w:spacing w:line="240" w:lineRule="auto"/>
            </w:pPr>
            <w:r/>
            <w:r>
              <w:rPr>
                <w:b/>
                <w:color w:val="B01E1E"/>
                <w:sz w:val="17"/>
              </w:rPr>
              <w:t>FALLA</w:t>
            </w:r>
          </w:p>
        </w:tc>
        <w:tc>
          <w:tcPr>
            <w:tcW w:type="dxa" w:w="1474"/>
          </w:tcPr>
          <w:p>
            <w:pPr>
              <w:spacing w:line="240" w:lineRule="auto"/>
            </w:pPr>
            <w:r/>
            <w:r>
              <w:rPr>
                <w:sz w:val="17"/>
              </w:rPr>
              <w:t>Fig. [n]</w:t>
            </w:r>
          </w:p>
        </w:tc>
        <w:tc>
          <w:tcPr>
            <w:tcW w:type="dxa" w:w="1134"/>
          </w:tcPr>
          <w:p>
            <w:pPr>
              <w:spacing w:line="240" w:lineRule="auto"/>
            </w:pPr>
            <w:r/>
            <w:r>
              <w:rPr>
                <w:sz w:val="17"/>
              </w:rPr>
              <w:t>INC-10</w:t>
            </w:r>
          </w:p>
        </w:tc>
      </w:tr>
      <w:tr>
        <w:tc>
          <w:tcPr>
            <w:tcW w:type="dxa" w:w="907"/>
          </w:tcPr>
          <w:p>
            <w:pPr>
              <w:spacing w:line="240" w:lineRule="auto"/>
            </w:pPr>
            <w:r/>
            <w:r>
              <w:rPr>
                <w:sz w:val="17"/>
              </w:rPr>
              <w:t>CP-19</w:t>
            </w:r>
          </w:p>
        </w:tc>
        <w:tc>
          <w:tcPr>
            <w:tcW w:type="dxa" w:w="4762"/>
          </w:tcPr>
          <w:p>
            <w:pPr>
              <w:spacing w:line="240" w:lineRule="auto"/>
            </w:pPr>
            <w:r/>
            <w:r>
              <w:rPr>
                <w:sz w:val="17"/>
              </w:rPr>
              <w:t>Ejecutado: SELECT nombre_usuario, contrasena_hash FROM usuarios devuelve admin/admin y editor/editor. Ningún valor tiene prefijo $2b$. Los datos bancarios de clientes (banco, número de cuenta, RUT) también se almacenan en claro.</w:t>
            </w:r>
          </w:p>
        </w:tc>
        <w:tc>
          <w:tcPr>
            <w:tcW w:type="dxa" w:w="1020"/>
          </w:tcPr>
          <w:p>
            <w:pPr>
              <w:spacing w:line="240" w:lineRule="auto"/>
            </w:pPr>
            <w:r/>
            <w:r>
              <w:rPr>
                <w:b/>
                <w:color w:val="B01E1E"/>
                <w:sz w:val="17"/>
              </w:rPr>
              <w:t>FALLA</w:t>
            </w:r>
          </w:p>
        </w:tc>
        <w:tc>
          <w:tcPr>
            <w:tcW w:type="dxa" w:w="1474"/>
          </w:tcPr>
          <w:p>
            <w:pPr>
              <w:spacing w:line="240" w:lineRule="auto"/>
            </w:pPr>
            <w:r/>
            <w:r>
              <w:rPr>
                <w:sz w:val="17"/>
              </w:rPr>
              <w:t>Fig. [n]: salida de psql</w:t>
            </w:r>
          </w:p>
        </w:tc>
        <w:tc>
          <w:tcPr>
            <w:tcW w:type="dxa" w:w="1134"/>
          </w:tcPr>
          <w:p>
            <w:pPr>
              <w:spacing w:line="240" w:lineRule="auto"/>
            </w:pPr>
            <w:r/>
            <w:r>
              <w:rPr>
                <w:sz w:val="17"/>
              </w:rPr>
              <w:t>INC-01 / INC-12</w:t>
            </w:r>
          </w:p>
        </w:tc>
      </w:tr>
      <w:tr>
        <w:tc>
          <w:tcPr>
            <w:tcW w:type="dxa" w:w="907"/>
          </w:tcPr>
          <w:p>
            <w:pPr>
              <w:spacing w:line="240" w:lineRule="auto"/>
            </w:pPr>
            <w:r/>
            <w:r>
              <w:rPr>
                <w:sz w:val="17"/>
              </w:rPr>
              <w:t>CP-21</w:t>
            </w:r>
          </w:p>
        </w:tc>
        <w:tc>
          <w:tcPr>
            <w:tcW w:type="dxa" w:w="4762"/>
          </w:tcPr>
          <w:p>
            <w:pPr>
              <w:spacing w:line="240" w:lineRule="auto"/>
            </w:pPr>
            <w:r/>
            <w:r>
              <w:rPr>
                <w:sz w:val="17"/>
              </w:rPr>
              <w:t>GET /contratos/1 y GET /contratos/1/file responden sin token. DELETE /contratos/2 sin token elimina el contrato y su documento.</w:t>
            </w:r>
          </w:p>
        </w:tc>
        <w:tc>
          <w:tcPr>
            <w:tcW w:type="dxa" w:w="1020"/>
          </w:tcPr>
          <w:p>
            <w:pPr>
              <w:spacing w:line="240" w:lineRule="auto"/>
            </w:pPr>
            <w:r/>
            <w:r>
              <w:rPr>
                <w:b/>
                <w:color w:val="B01E1E"/>
                <w:sz w:val="17"/>
              </w:rPr>
              <w:t>FALLA</w:t>
            </w:r>
          </w:p>
        </w:tc>
        <w:tc>
          <w:tcPr>
            <w:tcW w:type="dxa" w:w="1474"/>
          </w:tcPr>
          <w:p>
            <w:pPr>
              <w:spacing w:line="240" w:lineRule="auto"/>
            </w:pPr>
            <w:r/>
            <w:r>
              <w:rPr>
                <w:sz w:val="17"/>
              </w:rPr>
              <w:t>Fig. [n]</w:t>
            </w:r>
          </w:p>
        </w:tc>
        <w:tc>
          <w:tcPr>
            <w:tcW w:type="dxa" w:w="1134"/>
          </w:tcPr>
          <w:p>
            <w:pPr>
              <w:spacing w:line="240" w:lineRule="auto"/>
            </w:pPr>
            <w:r/>
            <w:r>
              <w:rPr>
                <w:sz w:val="17"/>
              </w:rPr>
              <w:t>INC-04</w:t>
            </w:r>
          </w:p>
        </w:tc>
      </w:tr>
      <w:tr>
        <w:tc>
          <w:tcPr>
            <w:tcW w:type="dxa" w:w="907"/>
          </w:tcPr>
          <w:p>
            <w:pPr>
              <w:spacing w:line="240" w:lineRule="auto"/>
            </w:pPr>
            <w:r/>
            <w:r>
              <w:rPr>
                <w:sz w:val="17"/>
              </w:rPr>
              <w:t>CP-22</w:t>
            </w:r>
          </w:p>
        </w:tc>
        <w:tc>
          <w:tcPr>
            <w:tcW w:type="dxa" w:w="4762"/>
          </w:tcPr>
          <w:p>
            <w:pPr>
              <w:spacing w:line="240" w:lineRule="auto"/>
            </w:pPr>
            <w:r/>
            <w:r>
              <w:rPr>
                <w:sz w:val="17"/>
              </w:rPr>
              <w:t>Login con ' OR '1'='1 devuelve 401 y la búsqueda con '; DROP TABLE clientes;-- no altera la base, porque todas las consultas usan parámetros ($1). El nombre &lt;script&gt;alert(1)&lt;/script&gt; se guarda como texto y React lo escapa al listarlo. Riesgo CSRF bajo: el token viaja en el encabezado Authorization y no en cookies.</w:t>
            </w:r>
          </w:p>
        </w:tc>
        <w:tc>
          <w:tcPr>
            <w:tcW w:type="dxa" w:w="1020"/>
          </w:tcPr>
          <w:p>
            <w:pPr>
              <w:spacing w:line="240" w:lineRule="auto"/>
            </w:pPr>
            <w:r/>
            <w:r>
              <w:rPr>
                <w:b/>
                <w:color w:val="1E7A34"/>
                <w:sz w:val="17"/>
              </w:rPr>
              <w:t>APRUEBA</w:t>
            </w:r>
          </w:p>
        </w:tc>
        <w:tc>
          <w:tcPr>
            <w:tcW w:type="dxa" w:w="1474"/>
          </w:tcPr>
          <w:p>
            <w:pPr>
              <w:spacing w:line="240" w:lineRule="auto"/>
            </w:pPr>
            <w:r/>
            <w:r>
              <w:rPr>
                <w:sz w:val="17"/>
              </w:rPr>
              <w:t>Fig. [n]</w:t>
            </w:r>
          </w:p>
        </w:tc>
        <w:tc>
          <w:tcPr>
            <w:tcW w:type="dxa" w:w="1134"/>
          </w:tcPr>
          <w:p>
            <w:pPr>
              <w:spacing w:line="240" w:lineRule="auto"/>
            </w:pPr>
            <w:r/>
            <w:r>
              <w:rPr>
                <w:sz w:val="17"/>
              </w:rPr>
              <w:t>—</w:t>
            </w:r>
          </w:p>
        </w:tc>
      </w:tr>
      <w:tr>
        <w:tc>
          <w:tcPr>
            <w:tcW w:type="dxa" w:w="9297"/>
            <w:gridSpan w:val="5"/>
            <w:shd w:val="clear" w:color="auto" w:fill="D9E2F3"/>
          </w:tcPr>
          <w:p>
            <w:pPr>
              <w:spacing w:line="240" w:lineRule="auto"/>
            </w:pPr>
            <w:r/>
            <w:r>
              <w:rPr>
                <w:b/>
                <w:sz w:val="17"/>
              </w:rPr>
              <w:t>RENDIMIENTO</w:t>
            </w:r>
          </w:p>
        </w:tc>
      </w:tr>
      <w:tr>
        <w:tc>
          <w:tcPr>
            <w:tcW w:type="dxa" w:w="907"/>
          </w:tcPr>
          <w:p>
            <w:pPr>
              <w:spacing w:line="240" w:lineRule="auto"/>
            </w:pPr>
            <w:r/>
            <w:r>
              <w:rPr>
                <w:sz w:val="17"/>
              </w:rPr>
              <w:t>CP-27</w:t>
            </w:r>
          </w:p>
        </w:tc>
        <w:tc>
          <w:tcPr>
            <w:tcW w:type="dxa" w:w="4762"/>
          </w:tcPr>
          <w:p>
            <w:pPr>
              <w:spacing w:line="240" w:lineRule="auto"/>
            </w:pPr>
            <w:r/>
            <w:r>
              <w:rPr>
                <w:sz w:val="17"/>
              </w:rPr>
              <w:t>POST /clientes responde bajo 300 ms, pero GET /clientes tiene un delay(4000) en clients.js: p95 superior a 4 000 ms.</w:t>
            </w:r>
          </w:p>
        </w:tc>
        <w:tc>
          <w:tcPr>
            <w:tcW w:type="dxa" w:w="1020"/>
          </w:tcPr>
          <w:p>
            <w:pPr>
              <w:spacing w:line="240" w:lineRule="auto"/>
            </w:pPr>
            <w:r/>
            <w:r>
              <w:rPr>
                <w:b/>
                <w:color w:val="B01E1E"/>
                <w:sz w:val="17"/>
              </w:rPr>
              <w:t>FALLA</w:t>
            </w:r>
          </w:p>
        </w:tc>
        <w:tc>
          <w:tcPr>
            <w:tcW w:type="dxa" w:w="1474"/>
          </w:tcPr>
          <w:p>
            <w:pPr>
              <w:spacing w:line="240" w:lineRule="auto"/>
            </w:pPr>
            <w:r/>
            <w:r>
              <w:rPr>
                <w:sz w:val="17"/>
              </w:rPr>
              <w:t>Fig. [n]: resumen de k6</w:t>
            </w:r>
          </w:p>
        </w:tc>
        <w:tc>
          <w:tcPr>
            <w:tcW w:type="dxa" w:w="1134"/>
          </w:tcPr>
          <w:p>
            <w:pPr>
              <w:spacing w:line="240" w:lineRule="auto"/>
            </w:pPr>
            <w:r/>
            <w:r>
              <w:rPr>
                <w:sz w:val="17"/>
              </w:rPr>
              <w:t>INC-11</w:t>
            </w:r>
          </w:p>
        </w:tc>
      </w:tr>
    </w:tbl>
    <w:p/>
    <w:p>
      <w:pPr>
        <w:jc w:val="both"/>
      </w:pPr>
      <w:r>
        <w:t>Ejecutado por: [nombre del integrante] – Fecha de ejecución: [dd/mm/2026]. Registrar responsable y fecha por caso si fueron ejecutados por distintas personas.</w:t>
      </w:r>
    </w:p>
    <w:p>
      <w:pPr>
        <w:pStyle w:val="Heading3"/>
      </w:pPr>
      <w:r>
        <w:t>5.2.1 Evaluación del resto de la matriz</w:t>
      </w:r>
    </w:p>
    <w:p>
      <w:pPr>
        <w:jc w:val="both"/>
      </w:pPr>
      <w:r>
        <w:t>Los casos no ejecutados dinámicamente se evaluaron por revisión de código para completar la cobertura del 100 % del ERS:</w:t>
      </w:r>
    </w:p>
    <w:tbl>
      <w:tblPr>
        <w:tblStyle w:val="TableGrid"/>
        <w:tblW w:type="auto" w:w="0"/>
        <w:tblLayout w:type="fixed"/>
        <w:tblLook w:firstColumn="1" w:firstRow="1" w:lastColumn="0" w:lastRow="0" w:noHBand="0" w:noVBand="1" w:val="04A0"/>
      </w:tblPr>
      <w:tblGrid>
        <w:gridCol w:w="1814"/>
        <w:gridCol w:w="1134"/>
        <w:gridCol w:w="6350"/>
      </w:tblGrid>
      <w:tr>
        <w:tc>
          <w:tcPr>
            <w:tcW w:type="dxa" w:w="1814"/>
            <w:shd w:val="clear" w:color="auto" w:fill="1F3A5F"/>
          </w:tcPr>
          <w:p>
            <w:pPr>
              <w:spacing w:line="240" w:lineRule="auto"/>
            </w:pPr>
            <w:r/>
            <w:r>
              <w:rPr>
                <w:b/>
                <w:color w:val="FFFFFF"/>
                <w:sz w:val="17"/>
              </w:rPr>
              <w:t>Casos</w:t>
            </w:r>
          </w:p>
        </w:tc>
        <w:tc>
          <w:tcPr>
            <w:tcW w:type="dxa" w:w="1134"/>
            <w:shd w:val="clear" w:color="auto" w:fill="1F3A5F"/>
          </w:tcPr>
          <w:p>
            <w:pPr>
              <w:spacing w:line="240" w:lineRule="auto"/>
            </w:pPr>
            <w:r/>
            <w:r>
              <w:rPr>
                <w:b/>
                <w:color w:val="FFFFFF"/>
                <w:sz w:val="17"/>
              </w:rPr>
              <w:t>Resultado</w:t>
            </w:r>
          </w:p>
        </w:tc>
        <w:tc>
          <w:tcPr>
            <w:tcW w:type="dxa" w:w="6350"/>
            <w:shd w:val="clear" w:color="auto" w:fill="1F3A5F"/>
          </w:tcPr>
          <w:p>
            <w:pPr>
              <w:spacing w:line="240" w:lineRule="auto"/>
            </w:pPr>
            <w:r/>
            <w:r>
              <w:rPr>
                <w:b/>
                <w:color w:val="FFFFFF"/>
                <w:sz w:val="17"/>
              </w:rPr>
              <w:t>Fundamento</w:t>
            </w:r>
          </w:p>
        </w:tc>
      </w:tr>
      <w:tr>
        <w:tc>
          <w:tcPr>
            <w:tcW w:type="dxa" w:w="1814"/>
          </w:tcPr>
          <w:p>
            <w:pPr>
              <w:spacing w:line="240" w:lineRule="auto"/>
            </w:pPr>
            <w:r/>
            <w:r>
              <w:rPr>
                <w:sz w:val="17"/>
              </w:rPr>
              <w:t>CP-03, CP-31</w:t>
            </w:r>
          </w:p>
        </w:tc>
        <w:tc>
          <w:tcPr>
            <w:tcW w:type="dxa" w:w="1134"/>
          </w:tcPr>
          <w:p>
            <w:pPr>
              <w:spacing w:line="240" w:lineRule="auto"/>
            </w:pPr>
            <w:r/>
            <w:r>
              <w:rPr>
                <w:b/>
                <w:color w:val="B01E1E"/>
                <w:sz w:val="17"/>
              </w:rPr>
              <w:t>FALLA</w:t>
            </w:r>
          </w:p>
        </w:tc>
        <w:tc>
          <w:tcPr>
            <w:tcW w:type="dxa" w:w="6350"/>
          </w:tcPr>
          <w:p>
            <w:pPr>
              <w:spacing w:line="240" w:lineRule="auto"/>
            </w:pPr>
            <w:r/>
            <w:r>
              <w:rPr>
                <w:sz w:val="17"/>
              </w:rPr>
              <w:t>No existe /autenticacion/register ni verificación por correo; el registro se hace vía POST /empresas sin validaciones.</w:t>
            </w:r>
          </w:p>
        </w:tc>
      </w:tr>
      <w:tr>
        <w:tc>
          <w:tcPr>
            <w:tcW w:type="dxa" w:w="1814"/>
          </w:tcPr>
          <w:p>
            <w:pPr>
              <w:spacing w:line="240" w:lineRule="auto"/>
            </w:pPr>
            <w:r/>
            <w:r>
              <w:rPr>
                <w:sz w:val="17"/>
              </w:rPr>
              <w:t>CP-04, CP-05</w:t>
            </w:r>
          </w:p>
        </w:tc>
        <w:tc>
          <w:tcPr>
            <w:tcW w:type="dxa" w:w="1134"/>
          </w:tcPr>
          <w:p>
            <w:pPr>
              <w:spacing w:line="240" w:lineRule="auto"/>
            </w:pPr>
            <w:r/>
            <w:r>
              <w:rPr>
                <w:b/>
                <w:color w:val="1E7A34"/>
                <w:sz w:val="17"/>
              </w:rPr>
              <w:t>APRUEBA</w:t>
            </w:r>
          </w:p>
        </w:tc>
        <w:tc>
          <w:tcPr>
            <w:tcW w:type="dxa" w:w="6350"/>
          </w:tcPr>
          <w:p>
            <w:pPr>
              <w:spacing w:line="240" w:lineRule="auto"/>
            </w:pPr>
            <w:r/>
            <w:r>
              <w:rPr>
                <w:sz w:val="17"/>
              </w:rPr>
              <w:t>POST /empresas crea usuario, empresa y relación con rol_id 1 (administrador).</w:t>
            </w:r>
          </w:p>
        </w:tc>
      </w:tr>
      <w:tr>
        <w:tc>
          <w:tcPr>
            <w:tcW w:type="dxa" w:w="1814"/>
          </w:tcPr>
          <w:p>
            <w:pPr>
              <w:spacing w:line="240" w:lineRule="auto"/>
            </w:pPr>
            <w:r/>
            <w:r>
              <w:rPr>
                <w:sz w:val="17"/>
              </w:rPr>
              <w:t>CP-06, CP-08</w:t>
            </w:r>
          </w:p>
        </w:tc>
        <w:tc>
          <w:tcPr>
            <w:tcW w:type="dxa" w:w="1134"/>
          </w:tcPr>
          <w:p>
            <w:pPr>
              <w:spacing w:line="240" w:lineRule="auto"/>
            </w:pPr>
            <w:r/>
            <w:r>
              <w:rPr>
                <w:b/>
                <w:color w:val="B01E1E"/>
                <w:sz w:val="17"/>
              </w:rPr>
              <w:t>FALLA</w:t>
            </w:r>
          </w:p>
        </w:tc>
        <w:tc>
          <w:tcPr>
            <w:tcW w:type="dxa" w:w="6350"/>
          </w:tcPr>
          <w:p>
            <w:pPr>
              <w:spacing w:line="240" w:lineRule="auto"/>
            </w:pPr>
            <w:r/>
            <w:r>
              <w:rPr>
                <w:sz w:val="17"/>
              </w:rPr>
              <w:t>Las rutas de /usuarios no exigen token ni rol (INC-02).</w:t>
            </w:r>
          </w:p>
        </w:tc>
      </w:tr>
      <w:tr>
        <w:tc>
          <w:tcPr>
            <w:tcW w:type="dxa" w:w="1814"/>
          </w:tcPr>
          <w:p>
            <w:pPr>
              <w:spacing w:line="240" w:lineRule="auto"/>
            </w:pPr>
            <w:r/>
            <w:r>
              <w:rPr>
                <w:sz w:val="17"/>
              </w:rPr>
              <w:t>CP-09, CP-11</w:t>
            </w:r>
          </w:p>
        </w:tc>
        <w:tc>
          <w:tcPr>
            <w:tcW w:type="dxa" w:w="1134"/>
          </w:tcPr>
          <w:p>
            <w:pPr>
              <w:spacing w:line="240" w:lineRule="auto"/>
            </w:pPr>
            <w:r/>
            <w:r>
              <w:rPr>
                <w:sz w:val="17"/>
              </w:rPr>
              <w:t>Parcial</w:t>
            </w:r>
          </w:p>
        </w:tc>
        <w:tc>
          <w:tcPr>
            <w:tcW w:type="dxa" w:w="6350"/>
          </w:tcPr>
          <w:p>
            <w:pPr>
              <w:spacing w:line="240" w:lineRule="auto"/>
            </w:pPr>
            <w:r/>
            <w:r>
              <w:rPr>
                <w:sz w:val="17"/>
              </w:rPr>
              <w:t>Creación funciona, pero sin validación de RUT, correo ni formatos en el backend.</w:t>
            </w:r>
          </w:p>
        </w:tc>
      </w:tr>
      <w:tr>
        <w:tc>
          <w:tcPr>
            <w:tcW w:type="dxa" w:w="1814"/>
          </w:tcPr>
          <w:p>
            <w:pPr>
              <w:spacing w:line="240" w:lineRule="auto"/>
            </w:pPr>
            <w:r/>
            <w:r>
              <w:rPr>
                <w:sz w:val="17"/>
              </w:rPr>
              <w:t>CP-10</w:t>
            </w:r>
          </w:p>
        </w:tc>
        <w:tc>
          <w:tcPr>
            <w:tcW w:type="dxa" w:w="1134"/>
          </w:tcPr>
          <w:p>
            <w:pPr>
              <w:spacing w:line="240" w:lineRule="auto"/>
            </w:pPr>
            <w:r/>
            <w:r>
              <w:rPr>
                <w:b/>
                <w:color w:val="B01E1E"/>
                <w:sz w:val="17"/>
              </w:rPr>
              <w:t>FALLA</w:t>
            </w:r>
          </w:p>
        </w:tc>
        <w:tc>
          <w:tcPr>
            <w:tcW w:type="dxa" w:w="6350"/>
          </w:tcPr>
          <w:p>
            <w:pPr>
              <w:spacing w:line="240" w:lineRule="auto"/>
            </w:pPr>
            <w:r/>
            <w:r>
              <w:rPr>
                <w:sz w:val="17"/>
              </w:rPr>
              <w:t>Sin paginación y con eliminación física (INC-09, INC-12).</w:t>
            </w:r>
          </w:p>
        </w:tc>
      </w:tr>
      <w:tr>
        <w:tc>
          <w:tcPr>
            <w:tcW w:type="dxa" w:w="1814"/>
          </w:tcPr>
          <w:p>
            <w:pPr>
              <w:spacing w:line="240" w:lineRule="auto"/>
            </w:pPr>
            <w:r/>
            <w:r>
              <w:rPr>
                <w:sz w:val="17"/>
              </w:rPr>
              <w:t>CP-12, CP-36</w:t>
            </w:r>
          </w:p>
        </w:tc>
        <w:tc>
          <w:tcPr>
            <w:tcW w:type="dxa" w:w="1134"/>
          </w:tcPr>
          <w:p>
            <w:pPr>
              <w:spacing w:line="240" w:lineRule="auto"/>
            </w:pPr>
            <w:r/>
            <w:r>
              <w:rPr>
                <w:b/>
                <w:color w:val="1E7A34"/>
                <w:sz w:val="17"/>
              </w:rPr>
              <w:t>APRUEBA</w:t>
            </w:r>
          </w:p>
        </w:tc>
        <w:tc>
          <w:tcPr>
            <w:tcW w:type="dxa" w:w="6350"/>
          </w:tcPr>
          <w:p>
            <w:pPr>
              <w:spacing w:line="240" w:lineRule="auto"/>
            </w:pPr>
            <w:r/>
            <w:r>
              <w:rPr>
                <w:sz w:val="17"/>
              </w:rPr>
              <w:t>El contrato se asocia a un único cliente_id (FK).</w:t>
            </w:r>
          </w:p>
        </w:tc>
      </w:tr>
      <w:tr>
        <w:tc>
          <w:tcPr>
            <w:tcW w:type="dxa" w:w="1814"/>
          </w:tcPr>
          <w:p>
            <w:pPr>
              <w:spacing w:line="240" w:lineRule="auto"/>
            </w:pPr>
            <w:r/>
            <w:r>
              <w:rPr>
                <w:sz w:val="17"/>
              </w:rPr>
              <w:t>CP-14</w:t>
            </w:r>
          </w:p>
        </w:tc>
        <w:tc>
          <w:tcPr>
            <w:tcW w:type="dxa" w:w="1134"/>
          </w:tcPr>
          <w:p>
            <w:pPr>
              <w:spacing w:line="240" w:lineRule="auto"/>
            </w:pPr>
            <w:r/>
            <w:r>
              <w:rPr>
                <w:sz w:val="17"/>
              </w:rPr>
              <w:t>Parcial</w:t>
            </w:r>
          </w:p>
        </w:tc>
        <w:tc>
          <w:tcPr>
            <w:tcW w:type="dxa" w:w="6350"/>
          </w:tcPr>
          <w:p>
            <w:pPr>
              <w:spacing w:line="240" w:lineRule="auto"/>
            </w:pPr>
            <w:r/>
            <w:r>
              <w:rPr>
                <w:sz w:val="17"/>
              </w:rPr>
              <w:t>El documento se guarda como bytea en BD, no en storage interno (INC-19).</w:t>
            </w:r>
          </w:p>
        </w:tc>
      </w:tr>
      <w:tr>
        <w:tc>
          <w:tcPr>
            <w:tcW w:type="dxa" w:w="1814"/>
          </w:tcPr>
          <w:p>
            <w:pPr>
              <w:spacing w:line="240" w:lineRule="auto"/>
            </w:pPr>
            <w:r/>
            <w:r>
              <w:rPr>
                <w:sz w:val="17"/>
              </w:rPr>
              <w:t>CP-15</w:t>
            </w:r>
          </w:p>
        </w:tc>
        <w:tc>
          <w:tcPr>
            <w:tcW w:type="dxa" w:w="1134"/>
          </w:tcPr>
          <w:p>
            <w:pPr>
              <w:spacing w:line="240" w:lineRule="auto"/>
            </w:pPr>
            <w:r/>
            <w:r>
              <w:rPr>
                <w:sz w:val="17"/>
              </w:rPr>
              <w:t>Parcial</w:t>
            </w:r>
          </w:p>
        </w:tc>
        <w:tc>
          <w:tcPr>
            <w:tcW w:type="dxa" w:w="6350"/>
          </w:tcPr>
          <w:p>
            <w:pPr>
              <w:spacing w:line="240" w:lineRule="auto"/>
            </w:pPr>
            <w:r/>
            <w:r>
              <w:rPr>
                <w:sz w:val="17"/>
              </w:rPr>
              <w:t>El estado se calcula en /contratos/estados, pero no se muestra el estado "activo".</w:t>
            </w:r>
          </w:p>
        </w:tc>
      </w:tr>
      <w:tr>
        <w:tc>
          <w:tcPr>
            <w:tcW w:type="dxa" w:w="1814"/>
          </w:tcPr>
          <w:p>
            <w:pPr>
              <w:spacing w:line="240" w:lineRule="auto"/>
            </w:pPr>
            <w:r/>
            <w:r>
              <w:rPr>
                <w:sz w:val="17"/>
              </w:rPr>
              <w:t>CP-16</w:t>
            </w:r>
          </w:p>
        </w:tc>
        <w:tc>
          <w:tcPr>
            <w:tcW w:type="dxa" w:w="1134"/>
          </w:tcPr>
          <w:p>
            <w:pPr>
              <w:spacing w:line="240" w:lineRule="auto"/>
            </w:pPr>
            <w:r/>
            <w:r>
              <w:rPr>
                <w:b/>
                <w:color w:val="B01E1E"/>
                <w:sz w:val="17"/>
              </w:rPr>
              <w:t>FALLA</w:t>
            </w:r>
          </w:p>
        </w:tc>
        <w:tc>
          <w:tcPr>
            <w:tcW w:type="dxa" w:w="6350"/>
          </w:tcPr>
          <w:p>
            <w:pPr>
              <w:spacing w:line="240" w:lineRule="auto"/>
            </w:pPr>
            <w:r/>
            <w:r>
              <w:rPr>
                <w:sz w:val="17"/>
              </w:rPr>
              <w:t>No existe enlace compartible (INC-12).</w:t>
            </w:r>
          </w:p>
        </w:tc>
      </w:tr>
      <w:tr>
        <w:tc>
          <w:tcPr>
            <w:tcW w:type="dxa" w:w="1814"/>
          </w:tcPr>
          <w:p>
            <w:pPr>
              <w:spacing w:line="240" w:lineRule="auto"/>
            </w:pPr>
            <w:r/>
            <w:r>
              <w:rPr>
                <w:sz w:val="17"/>
              </w:rPr>
              <w:t>CP-18</w:t>
            </w:r>
          </w:p>
        </w:tc>
        <w:tc>
          <w:tcPr>
            <w:tcW w:type="dxa" w:w="1134"/>
          </w:tcPr>
          <w:p>
            <w:pPr>
              <w:spacing w:line="240" w:lineRule="auto"/>
            </w:pPr>
            <w:r/>
            <w:r>
              <w:rPr>
                <w:b/>
                <w:color w:val="B01E1E"/>
                <w:sz w:val="17"/>
              </w:rPr>
              <w:t>FALLA</w:t>
            </w:r>
          </w:p>
        </w:tc>
        <w:tc>
          <w:tcPr>
            <w:tcW w:type="dxa" w:w="6350"/>
          </w:tcPr>
          <w:p>
            <w:pPr>
              <w:spacing w:line="240" w:lineRule="auto"/>
            </w:pPr>
            <w:r/>
            <w:r>
              <w:rPr>
                <w:sz w:val="17"/>
              </w:rPr>
              <w:t>Sin TLS ni HSTS (INC-07).</w:t>
            </w:r>
          </w:p>
        </w:tc>
      </w:tr>
      <w:tr>
        <w:tc>
          <w:tcPr>
            <w:tcW w:type="dxa" w:w="1814"/>
          </w:tcPr>
          <w:p>
            <w:pPr>
              <w:spacing w:line="240" w:lineRule="auto"/>
            </w:pPr>
            <w:r/>
            <w:r>
              <w:rPr>
                <w:sz w:val="17"/>
              </w:rPr>
              <w:t>CP-20</w:t>
            </w:r>
          </w:p>
        </w:tc>
        <w:tc>
          <w:tcPr>
            <w:tcW w:type="dxa" w:w="1134"/>
          </w:tcPr>
          <w:p>
            <w:pPr>
              <w:spacing w:line="240" w:lineRule="auto"/>
            </w:pPr>
            <w:r/>
            <w:r>
              <w:rPr>
                <w:b/>
                <w:color w:val="B01E1E"/>
                <w:sz w:val="17"/>
              </w:rPr>
              <w:t>FALLA</w:t>
            </w:r>
          </w:p>
        </w:tc>
        <w:tc>
          <w:tcPr>
            <w:tcW w:type="dxa" w:w="6350"/>
          </w:tcPr>
          <w:p>
            <w:pPr>
              <w:spacing w:line="240" w:lineRule="auto"/>
            </w:pPr>
            <w:r/>
            <w:r>
              <w:rPr>
                <w:sz w:val="17"/>
              </w:rPr>
              <w:t>Datos bancarios en claro (verificado en BD junto con CP-19).</w:t>
            </w:r>
          </w:p>
        </w:tc>
      </w:tr>
      <w:tr>
        <w:tc>
          <w:tcPr>
            <w:tcW w:type="dxa" w:w="1814"/>
          </w:tcPr>
          <w:p>
            <w:pPr>
              <w:spacing w:line="240" w:lineRule="auto"/>
            </w:pPr>
            <w:r/>
            <w:r>
              <w:rPr>
                <w:sz w:val="17"/>
              </w:rPr>
              <w:t>CP-23</w:t>
            </w:r>
          </w:p>
        </w:tc>
        <w:tc>
          <w:tcPr>
            <w:tcW w:type="dxa" w:w="1134"/>
          </w:tcPr>
          <w:p>
            <w:pPr>
              <w:spacing w:line="240" w:lineRule="auto"/>
            </w:pPr>
            <w:r/>
            <w:r>
              <w:rPr>
                <w:b/>
                <w:color w:val="B01E1E"/>
                <w:sz w:val="17"/>
              </w:rPr>
              <w:t>FALLA</w:t>
            </w:r>
          </w:p>
        </w:tc>
        <w:tc>
          <w:tcPr>
            <w:tcW w:type="dxa" w:w="6350"/>
          </w:tcPr>
          <w:p>
            <w:pPr>
              <w:spacing w:line="240" w:lineRule="auto"/>
            </w:pPr>
            <w:r/>
            <w:r>
              <w:rPr>
                <w:sz w:val="17"/>
              </w:rPr>
              <w:t>Respuestas 500 incluyen err.message (INC-11).</w:t>
            </w:r>
          </w:p>
        </w:tc>
      </w:tr>
      <w:tr>
        <w:tc>
          <w:tcPr>
            <w:tcW w:type="dxa" w:w="1814"/>
          </w:tcPr>
          <w:p>
            <w:pPr>
              <w:spacing w:line="240" w:lineRule="auto"/>
            </w:pPr>
            <w:r/>
            <w:r>
              <w:rPr>
                <w:sz w:val="17"/>
              </w:rPr>
              <w:t>CP-24, CP-33</w:t>
            </w:r>
          </w:p>
        </w:tc>
        <w:tc>
          <w:tcPr>
            <w:tcW w:type="dxa" w:w="1134"/>
          </w:tcPr>
          <w:p>
            <w:pPr>
              <w:spacing w:line="240" w:lineRule="auto"/>
            </w:pPr>
            <w:r/>
            <w:r>
              <w:rPr>
                <w:b/>
                <w:color w:val="B01E1E"/>
                <w:sz w:val="17"/>
              </w:rPr>
              <w:t>FALLA</w:t>
            </w:r>
          </w:p>
        </w:tc>
        <w:tc>
          <w:tcPr>
            <w:tcW w:type="dxa" w:w="6350"/>
          </w:tcPr>
          <w:p>
            <w:pPr>
              <w:spacing w:line="240" w:lineRule="auto"/>
            </w:pPr>
            <w:r/>
            <w:r>
              <w:rPr>
                <w:sz w:val="17"/>
              </w:rPr>
              <w:t>No hay política de respaldo ni ventana de mantenimiento documentadas.</w:t>
            </w:r>
          </w:p>
        </w:tc>
      </w:tr>
      <w:tr>
        <w:tc>
          <w:tcPr>
            <w:tcW w:type="dxa" w:w="1814"/>
          </w:tcPr>
          <w:p>
            <w:pPr>
              <w:spacing w:line="240" w:lineRule="auto"/>
            </w:pPr>
            <w:r/>
            <w:r>
              <w:rPr>
                <w:sz w:val="17"/>
              </w:rPr>
              <w:t>CP-25</w:t>
            </w:r>
          </w:p>
        </w:tc>
        <w:tc>
          <w:tcPr>
            <w:tcW w:type="dxa" w:w="1134"/>
          </w:tcPr>
          <w:p>
            <w:pPr>
              <w:spacing w:line="240" w:lineRule="auto"/>
            </w:pPr>
            <w:r/>
            <w:r>
              <w:rPr>
                <w:b/>
                <w:color w:val="B01E1E"/>
                <w:sz w:val="17"/>
              </w:rPr>
              <w:t>FALLA</w:t>
            </w:r>
          </w:p>
        </w:tc>
        <w:tc>
          <w:tcPr>
            <w:tcW w:type="dxa" w:w="6350"/>
          </w:tcPr>
          <w:p>
            <w:pPr>
              <w:spacing w:line="240" w:lineRule="auto"/>
            </w:pPr>
            <w:r/>
            <w:r>
              <w:rPr>
                <w:sz w:val="17"/>
              </w:rPr>
              <w:t>Sin consentimiento, política de privacidad ni mecanismo de derechos ARCO.</w:t>
            </w:r>
          </w:p>
        </w:tc>
      </w:tr>
      <w:tr>
        <w:tc>
          <w:tcPr>
            <w:tcW w:type="dxa" w:w="1814"/>
          </w:tcPr>
          <w:p>
            <w:pPr>
              <w:spacing w:line="240" w:lineRule="auto"/>
            </w:pPr>
            <w:r/>
            <w:r>
              <w:rPr>
                <w:sz w:val="17"/>
              </w:rPr>
              <w:t>CP-26</w:t>
            </w:r>
          </w:p>
        </w:tc>
        <w:tc>
          <w:tcPr>
            <w:tcW w:type="dxa" w:w="1134"/>
          </w:tcPr>
          <w:p>
            <w:pPr>
              <w:spacing w:line="240" w:lineRule="auto"/>
            </w:pPr>
            <w:r/>
            <w:r>
              <w:rPr>
                <w:sz w:val="17"/>
              </w:rPr>
              <w:t>Parcial</w:t>
            </w:r>
          </w:p>
        </w:tc>
        <w:tc>
          <w:tcPr>
            <w:tcW w:type="dxa" w:w="6350"/>
          </w:tcPr>
          <w:p>
            <w:pPr>
              <w:spacing w:line="240" w:lineRule="auto"/>
            </w:pPr>
            <w:r/>
            <w:r>
              <w:rPr>
                <w:sz w:val="17"/>
              </w:rPr>
              <w:t>JWT firmado con expiración de 2 h, pero secreto versionado y fallback "inseguro" (INC-06).</w:t>
            </w:r>
          </w:p>
        </w:tc>
      </w:tr>
      <w:tr>
        <w:tc>
          <w:tcPr>
            <w:tcW w:type="dxa" w:w="1814"/>
          </w:tcPr>
          <w:p>
            <w:pPr>
              <w:spacing w:line="240" w:lineRule="auto"/>
            </w:pPr>
            <w:r/>
            <w:r>
              <w:rPr>
                <w:sz w:val="17"/>
              </w:rPr>
              <w:t>CP-28, CP-29</w:t>
            </w:r>
          </w:p>
        </w:tc>
        <w:tc>
          <w:tcPr>
            <w:tcW w:type="dxa" w:w="1134"/>
          </w:tcPr>
          <w:p>
            <w:pPr>
              <w:spacing w:line="240" w:lineRule="auto"/>
            </w:pPr>
            <w:r/>
            <w:r>
              <w:rPr>
                <w:b/>
                <w:color w:val="B01E1E"/>
                <w:sz w:val="17"/>
              </w:rPr>
              <w:t>FALLA</w:t>
            </w:r>
          </w:p>
        </w:tc>
        <w:tc>
          <w:tcPr>
            <w:tcW w:type="dxa" w:w="6350"/>
          </w:tcPr>
          <w:p>
            <w:pPr>
              <w:spacing w:line="240" w:lineRule="auto"/>
            </w:pPr>
            <w:r/>
            <w:r>
              <w:rPr>
                <w:sz w:val="17"/>
              </w:rPr>
              <w:t>Los delays de 4 s impiden cumplir &lt; 2 s de carga y la concurrencia de 200 usuarios.</w:t>
            </w:r>
          </w:p>
        </w:tc>
      </w:tr>
      <w:tr>
        <w:tc>
          <w:tcPr>
            <w:tcW w:type="dxa" w:w="1814"/>
          </w:tcPr>
          <w:p>
            <w:pPr>
              <w:spacing w:line="240" w:lineRule="auto"/>
            </w:pPr>
            <w:r/>
            <w:r>
              <w:rPr>
                <w:sz w:val="17"/>
              </w:rPr>
              <w:t>CP-30, CP-32, CP-34</w:t>
            </w:r>
          </w:p>
        </w:tc>
        <w:tc>
          <w:tcPr>
            <w:tcW w:type="dxa" w:w="1134"/>
          </w:tcPr>
          <w:p>
            <w:pPr>
              <w:spacing w:line="240" w:lineRule="auto"/>
            </w:pPr>
            <w:r/>
            <w:r>
              <w:rPr>
                <w:sz w:val="17"/>
              </w:rPr>
              <w:t>Parcial</w:t>
            </w:r>
          </w:p>
        </w:tc>
        <w:tc>
          <w:tcPr>
            <w:tcW w:type="dxa" w:w="6350"/>
          </w:tcPr>
          <w:p>
            <w:pPr>
              <w:spacing w:line="240" w:lineRule="auto"/>
            </w:pPr>
            <w:r/>
            <w:r>
              <w:rPr>
                <w:sz w:val="17"/>
              </w:rPr>
              <w:t>Material UI aporta componentes accesibles; requiere medición con Lighthouse.</w:t>
            </w:r>
          </w:p>
        </w:tc>
      </w:tr>
      <w:tr>
        <w:tc>
          <w:tcPr>
            <w:tcW w:type="dxa" w:w="1814"/>
          </w:tcPr>
          <w:p>
            <w:pPr>
              <w:spacing w:line="240" w:lineRule="auto"/>
            </w:pPr>
            <w:r/>
            <w:r>
              <w:rPr>
                <w:sz w:val="17"/>
              </w:rPr>
              <w:t>CP-35</w:t>
            </w:r>
          </w:p>
        </w:tc>
        <w:tc>
          <w:tcPr>
            <w:tcW w:type="dxa" w:w="1134"/>
          </w:tcPr>
          <w:p>
            <w:pPr>
              <w:spacing w:line="240" w:lineRule="auto"/>
            </w:pPr>
            <w:r/>
            <w:r>
              <w:rPr>
                <w:sz w:val="17"/>
              </w:rPr>
              <w:t>Parcial</w:t>
            </w:r>
          </w:p>
        </w:tc>
        <w:tc>
          <w:tcPr>
            <w:tcW w:type="dxa" w:w="6350"/>
          </w:tcPr>
          <w:p>
            <w:pPr>
              <w:spacing w:line="240" w:lineRule="auto"/>
            </w:pPr>
            <w:r/>
            <w:r>
              <w:rPr>
                <w:sz w:val="17"/>
              </w:rPr>
              <w:t>Correo único por restricción UNIQUE en usuarios y empresas.</w:t>
            </w:r>
          </w:p>
        </w:tc>
      </w:tr>
    </w:tbl>
    <w:p/>
    <w:p>
      <w:pPr>
        <w:pStyle w:val="Heading2"/>
      </w:pPr>
      <w:r>
        <w:t>5.3 Criticidad de incidentes (actualización)</w:t>
      </w:r>
    </w:p>
    <w:p>
      <w:pPr>
        <w:jc w:val="both"/>
      </w:pPr>
      <w:r>
        <w:t>La ejecución dinámica confirmó los incidentes INC-01, 03, 04, 05, 08, 10 y 11 registrados en la tabla de incidentes preliminares, sin cambios de criticidad. Se agrega la evidencia de CP-20 a INC-12 (datos bancarios sin cifrar) y se mantiene la distribución: 3 críticos, 7 graves, 8 moderados y 1 leve.</w:t>
      </w:r>
    </w:p>
    <w:p>
      <w:pPr>
        <w:pStyle w:val="Heading1"/>
      </w:pPr>
      <w:r>
        <w:t>6. Análisis ético y normativo de los resultados</w:t>
      </w:r>
    </w:p>
    <w:p>
      <w:pPr>
        <w:pStyle w:val="Heading2"/>
      </w:pPr>
      <w:r>
        <w:t>6.1 Implicancias normativas</w:t>
      </w:r>
    </w:p>
    <w:p>
      <w:pPr>
        <w:jc w:val="both"/>
      </w:pPr>
      <w:r>
        <w:t>Los resultados muestran que Atlas no cumple hoy con los deberes de seguridad que la normativa chilena exige a quien trata datos personales. La siguiente tabla relaciona los incidentes con la norma afectada:</w:t>
      </w:r>
    </w:p>
    <w:tbl>
      <w:tblPr>
        <w:tblStyle w:val="TableGrid"/>
        <w:tblW w:type="auto" w:w="0"/>
        <w:tblLayout w:type="fixed"/>
        <w:tblLook w:firstColumn="1" w:firstRow="1" w:lastColumn="0" w:lastRow="0" w:noHBand="0" w:noVBand="1" w:val="04A0"/>
      </w:tblPr>
      <w:tblGrid>
        <w:gridCol w:w="2608"/>
        <w:gridCol w:w="2608"/>
        <w:gridCol w:w="4082"/>
      </w:tblGrid>
      <w:tr>
        <w:tc>
          <w:tcPr>
            <w:tcW w:type="dxa" w:w="2608"/>
            <w:shd w:val="clear" w:color="auto" w:fill="1F3A5F"/>
          </w:tcPr>
          <w:p>
            <w:pPr>
              <w:spacing w:line="240" w:lineRule="auto"/>
            </w:pPr>
            <w:r/>
            <w:r>
              <w:rPr>
                <w:b/>
                <w:color w:val="FFFFFF"/>
                <w:sz w:val="17"/>
              </w:rPr>
              <w:t>Incidente</w:t>
            </w:r>
          </w:p>
        </w:tc>
        <w:tc>
          <w:tcPr>
            <w:tcW w:type="dxa" w:w="2608"/>
            <w:shd w:val="clear" w:color="auto" w:fill="1F3A5F"/>
          </w:tcPr>
          <w:p>
            <w:pPr>
              <w:spacing w:line="240" w:lineRule="auto"/>
            </w:pPr>
            <w:r/>
            <w:r>
              <w:rPr>
                <w:b/>
                <w:color w:val="FFFFFF"/>
                <w:sz w:val="17"/>
              </w:rPr>
              <w:t>Norma</w:t>
            </w:r>
          </w:p>
        </w:tc>
        <w:tc>
          <w:tcPr>
            <w:tcW w:type="dxa" w:w="4082"/>
            <w:shd w:val="clear" w:color="auto" w:fill="1F3A5F"/>
          </w:tcPr>
          <w:p>
            <w:pPr>
              <w:spacing w:line="240" w:lineRule="auto"/>
            </w:pPr>
            <w:r/>
            <w:r>
              <w:rPr>
                <w:b/>
                <w:color w:val="FFFFFF"/>
                <w:sz w:val="17"/>
              </w:rPr>
              <w:t>Implicancia</w:t>
            </w:r>
          </w:p>
        </w:tc>
      </w:tr>
      <w:tr>
        <w:tc>
          <w:tcPr>
            <w:tcW w:type="dxa" w:w="2608"/>
          </w:tcPr>
          <w:p>
            <w:pPr>
              <w:spacing w:line="240" w:lineRule="auto"/>
            </w:pPr>
            <w:r/>
            <w:r>
              <w:rPr>
                <w:sz w:val="17"/>
              </w:rPr>
              <w:t>INC-01, INC-12 (contraseñas y datos bancarios en claro)</w:t>
            </w:r>
          </w:p>
        </w:tc>
        <w:tc>
          <w:tcPr>
            <w:tcW w:type="dxa" w:w="2608"/>
          </w:tcPr>
          <w:p>
            <w:pPr>
              <w:spacing w:line="240" w:lineRule="auto"/>
            </w:pPr>
            <w:r/>
            <w:r>
              <w:rPr>
                <w:sz w:val="17"/>
              </w:rPr>
              <w:t>Ley 19.628 art. 11; Ley 21.719 (deber de seguridad y medidas técnicas)</w:t>
            </w:r>
          </w:p>
        </w:tc>
        <w:tc>
          <w:tcPr>
            <w:tcW w:type="dxa" w:w="4082"/>
          </w:tcPr>
          <w:p>
            <w:pPr>
              <w:spacing w:line="240" w:lineRule="auto"/>
            </w:pPr>
            <w:r/>
            <w:r>
              <w:rPr>
                <w:sz w:val="17"/>
              </w:rPr>
              <w:t>Una filtración de la base expone credenciales y cuentas bancarias de clientes de forma directamente utilizable.</w:t>
            </w:r>
          </w:p>
        </w:tc>
      </w:tr>
      <w:tr>
        <w:tc>
          <w:tcPr>
            <w:tcW w:type="dxa" w:w="2608"/>
          </w:tcPr>
          <w:p>
            <w:pPr>
              <w:spacing w:line="240" w:lineRule="auto"/>
            </w:pPr>
            <w:r/>
            <w:r>
              <w:rPr>
                <w:sz w:val="17"/>
              </w:rPr>
              <w:t>INC-02, INC-04, INC-15 (acceso sin autenticación, IDOR)</w:t>
            </w:r>
          </w:p>
        </w:tc>
        <w:tc>
          <w:tcPr>
            <w:tcW w:type="dxa" w:w="2608"/>
          </w:tcPr>
          <w:p>
            <w:pPr>
              <w:spacing w:line="240" w:lineRule="auto"/>
            </w:pPr>
            <w:r/>
            <w:r>
              <w:rPr>
                <w:sz w:val="17"/>
              </w:rPr>
              <w:t>Ley 21.719 (confidencialidad); Ley 21.459 (acceso ilícito)</w:t>
            </w:r>
          </w:p>
        </w:tc>
        <w:tc>
          <w:tcPr>
            <w:tcW w:type="dxa" w:w="4082"/>
          </w:tcPr>
          <w:p>
            <w:pPr>
              <w:spacing w:line="240" w:lineRule="auto"/>
            </w:pPr>
            <w:r/>
            <w:r>
              <w:rPr>
                <w:sz w:val="17"/>
              </w:rPr>
              <w:t>Cualquier persona en la red puede leer o borrar contratos de cualquier empresa: el sistema facilita el delito que la ley sanciona.</w:t>
            </w:r>
          </w:p>
        </w:tc>
      </w:tr>
      <w:tr>
        <w:tc>
          <w:tcPr>
            <w:tcW w:type="dxa" w:w="2608"/>
          </w:tcPr>
          <w:p>
            <w:pPr>
              <w:spacing w:line="240" w:lineRule="auto"/>
            </w:pPr>
            <w:r/>
            <w:r>
              <w:rPr>
                <w:sz w:val="17"/>
              </w:rPr>
              <w:t>INC-03 (auditoría pública y falsificable)</w:t>
            </w:r>
          </w:p>
        </w:tc>
        <w:tc>
          <w:tcPr>
            <w:tcW w:type="dxa" w:w="2608"/>
          </w:tcPr>
          <w:p>
            <w:pPr>
              <w:spacing w:line="240" w:lineRule="auto"/>
            </w:pPr>
            <w:r/>
            <w:r>
              <w:rPr>
                <w:sz w:val="17"/>
              </w:rPr>
              <w:t>Ley 21.719 (responsabilidad proactiva); Ley 21.663 (gestión y reporte de incidentes)</w:t>
            </w:r>
          </w:p>
        </w:tc>
        <w:tc>
          <w:tcPr>
            <w:tcW w:type="dxa" w:w="4082"/>
          </w:tcPr>
          <w:p>
            <w:pPr>
              <w:spacing w:line="240" w:lineRule="auto"/>
            </w:pPr>
            <w:r/>
            <w:r>
              <w:rPr>
                <w:sz w:val="17"/>
              </w:rPr>
              <w:t>Si la bitácora puede leerse y alterarse, la empresa no puede demostrar qué ocurrió ante un incidente ni cumplir el deber de notificar brechas.</w:t>
            </w:r>
          </w:p>
        </w:tc>
      </w:tr>
      <w:tr>
        <w:tc>
          <w:tcPr>
            <w:tcW w:type="dxa" w:w="2608"/>
          </w:tcPr>
          <w:p>
            <w:pPr>
              <w:spacing w:line="240" w:lineRule="auto"/>
            </w:pPr>
            <w:r/>
            <w:r>
              <w:rPr>
                <w:sz w:val="17"/>
              </w:rPr>
              <w:t>INC-09 (eliminación física)</w:t>
            </w:r>
          </w:p>
        </w:tc>
        <w:tc>
          <w:tcPr>
            <w:tcW w:type="dxa" w:w="2608"/>
          </w:tcPr>
          <w:p>
            <w:pPr>
              <w:spacing w:line="240" w:lineRule="auto"/>
            </w:pPr>
            <w:r/>
            <w:r>
              <w:rPr>
                <w:sz w:val="17"/>
              </w:rPr>
              <w:t>Ley 21.719 (derechos ARCO / supresión)</w:t>
            </w:r>
          </w:p>
        </w:tc>
        <w:tc>
          <w:tcPr>
            <w:tcW w:type="dxa" w:w="4082"/>
          </w:tcPr>
          <w:p>
            <w:pPr>
              <w:spacing w:line="240" w:lineRule="auto"/>
            </w:pPr>
            <w:r/>
            <w:r>
              <w:rPr>
                <w:sz w:val="17"/>
              </w:rPr>
              <w:t>Se borra sin confirmación ni trazabilidad, lo que impide acreditar cuándo y quién ejerció la supresión.</w:t>
            </w:r>
          </w:p>
        </w:tc>
      </w:tr>
      <w:tr>
        <w:tc>
          <w:tcPr>
            <w:tcW w:type="dxa" w:w="2608"/>
          </w:tcPr>
          <w:p>
            <w:pPr>
              <w:spacing w:line="240" w:lineRule="auto"/>
            </w:pPr>
            <w:r/>
            <w:r>
              <w:rPr>
                <w:sz w:val="17"/>
              </w:rPr>
              <w:t>INC-07 (sin TLS)</w:t>
            </w:r>
          </w:p>
        </w:tc>
        <w:tc>
          <w:tcPr>
            <w:tcW w:type="dxa" w:w="2608"/>
          </w:tcPr>
          <w:p>
            <w:pPr>
              <w:spacing w:line="240" w:lineRule="auto"/>
            </w:pPr>
            <w:r/>
            <w:r>
              <w:rPr>
                <w:sz w:val="17"/>
              </w:rPr>
              <w:t>Ley 21.719; ISO/IEC 27001 A.8.24</w:t>
            </w:r>
          </w:p>
        </w:tc>
        <w:tc>
          <w:tcPr>
            <w:tcW w:type="dxa" w:w="4082"/>
          </w:tcPr>
          <w:p>
            <w:pPr>
              <w:spacing w:line="240" w:lineRule="auto"/>
            </w:pPr>
            <w:r/>
            <w:r>
              <w:rPr>
                <w:sz w:val="17"/>
              </w:rPr>
              <w:t>Credenciales y datos viajan en texto claro.</w:t>
            </w:r>
          </w:p>
        </w:tc>
      </w:tr>
    </w:tbl>
    <w:p/>
    <w:p>
      <w:pPr>
        <w:jc w:val="both"/>
      </w:pPr>
      <w:r>
        <w:t>La Ley 21.719 eleva el estándar de la Ley 19.628: exige medidas de seguridad apropiadas al riesgo, notificación de vulneraciones a la Agencia de Protección de Datos Personales y contempla multas significativas según la gravedad de la infracción. [Verificar en bcn.cl la fecha de entrada en vigencia y las cifras de multas antes de citarlas.] Desde el punto de vista de la calidad (ISO/IEC 25010), estos incumplimientos afectan directamente la característica de seguridad (confidencialidad, integridad, no repudio y responsabilidad), que el ERS declara como requisito esencial (NFR-SEG-8).</w:t>
      </w:r>
    </w:p>
    <w:p>
      <w:pPr>
        <w:pStyle w:val="Heading2"/>
      </w:pPr>
      <w:r>
        <w:t>6.2 Análisis ético</w:t>
      </w:r>
    </w:p>
    <w:p>
      <w:pPr>
        <w:pStyle w:val="ListBullet"/>
        <w:jc w:val="both"/>
      </w:pPr>
      <w:r>
        <w:rPr>
          <w:b/>
        </w:rPr>
        <w:t>Responsabilidad hacia terceros:</w:t>
      </w:r>
      <w:r>
        <w:t xml:space="preserve"> los titulares de los datos son los clientes de las pymes, que no participan en el diseño del sistema ni pueden protegerse por sí mismos. El equipo de desarrollo tiene la responsabilidad de proteger a quien no está en la mesa.</w:t>
      </w:r>
    </w:p>
    <w:p>
      <w:pPr>
        <w:pStyle w:val="ListBullet"/>
        <w:jc w:val="both"/>
      </w:pPr>
      <w:r>
        <w:rPr>
          <w:b/>
        </w:rPr>
        <w:t>Transparencia:</w:t>
      </w:r>
      <w:r>
        <w:t xml:space="preserve"> publicar el sistema conociendo vulnerabilidades críticas sería una decisión consciente de trasladar el riesgo al cliente. El informe debe comunicarse completo al responsable de CreaLab SpA, sin minimizar los hallazgos.</w:t>
      </w:r>
    </w:p>
    <w:p>
      <w:pPr>
        <w:pStyle w:val="ListBullet"/>
        <w:jc w:val="both"/>
      </w:pPr>
      <w:r>
        <w:rPr>
          <w:b/>
        </w:rPr>
        <w:t>Divulgación responsable:</w:t>
      </w:r>
      <w:r>
        <w:t xml:space="preserve"> los hallazgos se obtuvieron en un entorno local autorizado y con datos de prueba. No se deben reproducir las pruebas sobre instancias de terceros ni publicar los detalles de explotación hasta que estén corregidos.</w:t>
      </w:r>
    </w:p>
    <w:p>
      <w:pPr>
        <w:pStyle w:val="ListBullet"/>
        <w:jc w:val="both"/>
      </w:pPr>
      <w:r>
        <w:rPr>
          <w:b/>
        </w:rPr>
        <w:t>Minimización de datos en pruebas:</w:t>
      </w:r>
      <w:r>
        <w:t xml:space="preserve"> en la ejecución solo se usaron datos ficticios del dump. Si se usaran datos reales, las pruebas de seguridad deberían hacerse sobre una copia anonimizada.</w:t>
      </w:r>
    </w:p>
    <w:p>
      <w:pPr>
        <w:pStyle w:val="ListBullet"/>
        <w:jc w:val="both"/>
      </w:pPr>
      <w:r>
        <w:rPr>
          <w:b/>
        </w:rPr>
        <w:t>Código profesional:</w:t>
      </w:r>
      <w:r>
        <w:t xml:space="preserve"> el código de ética de ACM/IEEE para ingenieros de software pone el interés público por sobre la conveniencia del proyecto: un plazo de entrega no justifica liberar un software que expone datos personales.</w:t>
      </w:r>
    </w:p>
    <w:p>
      <w:pPr>
        <w:pStyle w:val="Heading2"/>
      </w:pPr>
      <w:r>
        <w:t>6.3 Recomendaciones de mejora continua</w:t>
      </w:r>
    </w:p>
    <w:tbl>
      <w:tblPr>
        <w:tblStyle w:val="TableGrid"/>
        <w:tblW w:type="auto" w:w="0"/>
        <w:tblLayout w:type="fixed"/>
        <w:tblLook w:firstColumn="1" w:firstRow="1" w:lastColumn="0" w:lastRow="0" w:noHBand="0" w:noVBand="1" w:val="04A0"/>
      </w:tblPr>
      <w:tblGrid>
        <w:gridCol w:w="1587"/>
        <w:gridCol w:w="5783"/>
        <w:gridCol w:w="1927"/>
      </w:tblGrid>
      <w:tr>
        <w:tc>
          <w:tcPr>
            <w:tcW w:type="dxa" w:w="1587"/>
            <w:shd w:val="clear" w:color="auto" w:fill="1F3A5F"/>
          </w:tcPr>
          <w:p>
            <w:pPr>
              <w:spacing w:line="240" w:lineRule="auto"/>
            </w:pPr>
            <w:r/>
            <w:r>
              <w:rPr>
                <w:b/>
                <w:color w:val="FFFFFF"/>
                <w:sz w:val="17"/>
              </w:rPr>
              <w:t>Prioridad</w:t>
            </w:r>
          </w:p>
        </w:tc>
        <w:tc>
          <w:tcPr>
            <w:tcW w:type="dxa" w:w="5783"/>
            <w:shd w:val="clear" w:color="auto" w:fill="1F3A5F"/>
          </w:tcPr>
          <w:p>
            <w:pPr>
              <w:spacing w:line="240" w:lineRule="auto"/>
            </w:pPr>
            <w:r/>
            <w:r>
              <w:rPr>
                <w:b/>
                <w:color w:val="FFFFFF"/>
                <w:sz w:val="17"/>
              </w:rPr>
              <w:t>Recomendación</w:t>
            </w:r>
          </w:p>
        </w:tc>
        <w:tc>
          <w:tcPr>
            <w:tcW w:type="dxa" w:w="1928"/>
            <w:shd w:val="clear" w:color="auto" w:fill="1F3A5F"/>
          </w:tcPr>
          <w:p>
            <w:pPr>
              <w:spacing w:line="240" w:lineRule="auto"/>
            </w:pPr>
            <w:r/>
            <w:r>
              <w:rPr>
                <w:b/>
                <w:color w:val="FFFFFF"/>
                <w:sz w:val="17"/>
              </w:rPr>
              <w:t>Incidentes</w:t>
            </w:r>
          </w:p>
        </w:tc>
      </w:tr>
      <w:tr>
        <w:tc>
          <w:tcPr>
            <w:tcW w:type="dxa" w:w="1587"/>
          </w:tcPr>
          <w:p>
            <w:pPr>
              <w:spacing w:line="240" w:lineRule="auto"/>
            </w:pPr>
            <w:r/>
            <w:r>
              <w:rPr>
                <w:sz w:val="17"/>
              </w:rPr>
              <w:t>1 (inmediata)</w:t>
            </w:r>
          </w:p>
        </w:tc>
        <w:tc>
          <w:tcPr>
            <w:tcW w:type="dxa" w:w="5783"/>
          </w:tcPr>
          <w:p>
            <w:pPr>
              <w:spacing w:line="240" w:lineRule="auto"/>
            </w:pPr>
            <w:r/>
            <w:r>
              <w:rPr>
                <w:sz w:val="17"/>
              </w:rPr>
              <w:t>Middleware de autenticación JWT aplicado a todas las rutas, y middleware de autorización por rol y empresa (RBAC) en el backend.</w:t>
            </w:r>
          </w:p>
        </w:tc>
        <w:tc>
          <w:tcPr>
            <w:tcW w:type="dxa" w:w="1928"/>
          </w:tcPr>
          <w:p>
            <w:pPr>
              <w:spacing w:line="240" w:lineRule="auto"/>
            </w:pPr>
            <w:r/>
            <w:r>
              <w:rPr>
                <w:sz w:val="17"/>
              </w:rPr>
              <w:t>INC-02, 03, 04, 05, 15, 16</w:t>
            </w:r>
          </w:p>
        </w:tc>
      </w:tr>
      <w:tr>
        <w:tc>
          <w:tcPr>
            <w:tcW w:type="dxa" w:w="1587"/>
          </w:tcPr>
          <w:p>
            <w:pPr>
              <w:spacing w:line="240" w:lineRule="auto"/>
            </w:pPr>
            <w:r/>
            <w:r>
              <w:rPr>
                <w:sz w:val="17"/>
              </w:rPr>
              <w:t>1 (inmediata)</w:t>
            </w:r>
          </w:p>
        </w:tc>
        <w:tc>
          <w:tcPr>
            <w:tcW w:type="dxa" w:w="5783"/>
          </w:tcPr>
          <w:p>
            <w:pPr>
              <w:spacing w:line="240" w:lineRule="auto"/>
            </w:pPr>
            <w:r/>
            <w:r>
              <w:rPr>
                <w:sz w:val="17"/>
              </w:rPr>
              <w:t>Hash de contraseñas con bcrypt (costo ≥ 12), migración de las existentes y comparación con bcrypt.compare.</w:t>
            </w:r>
          </w:p>
        </w:tc>
        <w:tc>
          <w:tcPr>
            <w:tcW w:type="dxa" w:w="1928"/>
          </w:tcPr>
          <w:p>
            <w:pPr>
              <w:spacing w:line="240" w:lineRule="auto"/>
            </w:pPr>
            <w:r/>
            <w:r>
              <w:rPr>
                <w:sz w:val="17"/>
              </w:rPr>
              <w:t>INC-01</w:t>
            </w:r>
          </w:p>
        </w:tc>
      </w:tr>
      <w:tr>
        <w:tc>
          <w:tcPr>
            <w:tcW w:type="dxa" w:w="1587"/>
          </w:tcPr>
          <w:p>
            <w:pPr>
              <w:spacing w:line="240" w:lineRule="auto"/>
            </w:pPr>
            <w:r/>
            <w:r>
              <w:rPr>
                <w:sz w:val="17"/>
              </w:rPr>
              <w:t>2 (urgente)</w:t>
            </w:r>
          </w:p>
        </w:tc>
        <w:tc>
          <w:tcPr>
            <w:tcW w:type="dxa" w:w="5783"/>
          </w:tcPr>
          <w:p>
            <w:pPr>
              <w:spacing w:line="240" w:lineRule="auto"/>
            </w:pPr>
            <w:r/>
            <w:r>
              <w:rPr>
                <w:sz w:val="17"/>
              </w:rPr>
              <w:t>Sacar secretos del repositorio (.env en .gitignore, rotar JWT_SECRET y clave de BD), eliminar fallback "inseguro".</w:t>
            </w:r>
          </w:p>
        </w:tc>
        <w:tc>
          <w:tcPr>
            <w:tcW w:type="dxa" w:w="1928"/>
          </w:tcPr>
          <w:p>
            <w:pPr>
              <w:spacing w:line="240" w:lineRule="auto"/>
            </w:pPr>
            <w:r/>
            <w:r>
              <w:rPr>
                <w:sz w:val="17"/>
              </w:rPr>
              <w:t>INC-06</w:t>
            </w:r>
          </w:p>
        </w:tc>
      </w:tr>
      <w:tr>
        <w:tc>
          <w:tcPr>
            <w:tcW w:type="dxa" w:w="1587"/>
          </w:tcPr>
          <w:p>
            <w:pPr>
              <w:spacing w:line="240" w:lineRule="auto"/>
            </w:pPr>
            <w:r/>
            <w:r>
              <w:rPr>
                <w:sz w:val="17"/>
              </w:rPr>
              <w:t>2 (urgente)</w:t>
            </w:r>
          </w:p>
        </w:tc>
        <w:tc>
          <w:tcPr>
            <w:tcW w:type="dxa" w:w="5783"/>
          </w:tcPr>
          <w:p>
            <w:pPr>
              <w:spacing w:line="240" w:lineRule="auto"/>
            </w:pPr>
            <w:r/>
            <w:r>
              <w:rPr>
                <w:sz w:val="17"/>
              </w:rPr>
              <w:t>TLS en un proxy inverso, Helmet, CORS restringido al dominio del frontend y rate limiting en /login.</w:t>
            </w:r>
          </w:p>
        </w:tc>
        <w:tc>
          <w:tcPr>
            <w:tcW w:type="dxa" w:w="1928"/>
          </w:tcPr>
          <w:p>
            <w:pPr>
              <w:spacing w:line="240" w:lineRule="auto"/>
            </w:pPr>
            <w:r/>
            <w:r>
              <w:rPr>
                <w:sz w:val="17"/>
              </w:rPr>
              <w:t>INC-07</w:t>
            </w:r>
          </w:p>
        </w:tc>
      </w:tr>
      <w:tr>
        <w:tc>
          <w:tcPr>
            <w:tcW w:type="dxa" w:w="1587"/>
          </w:tcPr>
          <w:p>
            <w:pPr>
              <w:spacing w:line="240" w:lineRule="auto"/>
            </w:pPr>
            <w:r/>
            <w:r>
              <w:rPr>
                <w:sz w:val="17"/>
              </w:rPr>
              <w:t>2 (urgente)</w:t>
            </w:r>
          </w:p>
        </w:tc>
        <w:tc>
          <w:tcPr>
            <w:tcW w:type="dxa" w:w="5783"/>
          </w:tcPr>
          <w:p>
            <w:pPr>
              <w:spacing w:line="240" w:lineRule="auto"/>
            </w:pPr>
            <w:r/>
            <w:r>
              <w:rPr>
                <w:sz w:val="17"/>
              </w:rPr>
              <w:t>npm audit fix, actualizar a Node 20/22 LTS y Multer 2.x, contenedor con usuario no root.</w:t>
            </w:r>
          </w:p>
        </w:tc>
        <w:tc>
          <w:tcPr>
            <w:tcW w:type="dxa" w:w="1928"/>
          </w:tcPr>
          <w:p>
            <w:pPr>
              <w:spacing w:line="240" w:lineRule="auto"/>
            </w:pPr>
            <w:r/>
            <w:r>
              <w:rPr>
                <w:sz w:val="17"/>
              </w:rPr>
              <w:t>INC-13, 14</w:t>
            </w:r>
          </w:p>
        </w:tc>
      </w:tr>
      <w:tr>
        <w:tc>
          <w:tcPr>
            <w:tcW w:type="dxa" w:w="1587"/>
          </w:tcPr>
          <w:p>
            <w:pPr>
              <w:spacing w:line="240" w:lineRule="auto"/>
            </w:pPr>
            <w:r/>
            <w:r>
              <w:rPr>
                <w:sz w:val="17"/>
              </w:rPr>
              <w:t>3 (próxima iteración)</w:t>
            </w:r>
          </w:p>
        </w:tc>
        <w:tc>
          <w:tcPr>
            <w:tcW w:type="dxa" w:w="5783"/>
          </w:tcPr>
          <w:p>
            <w:pPr>
              <w:spacing w:line="240" w:lineRule="auto"/>
            </w:pPr>
            <w:r/>
            <w:r>
              <w:rPr>
                <w:sz w:val="17"/>
              </w:rPr>
              <w:t>fileFilter y límite de tamaño en Multer; logout con lista de revocación y refresh token; eliminación lógica.</w:t>
            </w:r>
          </w:p>
        </w:tc>
        <w:tc>
          <w:tcPr>
            <w:tcW w:type="dxa" w:w="1928"/>
          </w:tcPr>
          <w:p>
            <w:pPr>
              <w:spacing w:line="240" w:lineRule="auto"/>
            </w:pPr>
            <w:r/>
            <w:r>
              <w:rPr>
                <w:sz w:val="17"/>
              </w:rPr>
              <w:t>INC-08, 09, 10</w:t>
            </w:r>
          </w:p>
        </w:tc>
      </w:tr>
      <w:tr>
        <w:tc>
          <w:tcPr>
            <w:tcW w:type="dxa" w:w="1587"/>
          </w:tcPr>
          <w:p>
            <w:pPr>
              <w:spacing w:line="240" w:lineRule="auto"/>
            </w:pPr>
            <w:r/>
            <w:r>
              <w:rPr>
                <w:sz w:val="17"/>
              </w:rPr>
              <w:t>3 (próxima iteración)</w:t>
            </w:r>
          </w:p>
        </w:tc>
        <w:tc>
          <w:tcPr>
            <w:tcW w:type="dxa" w:w="5783"/>
          </w:tcPr>
          <w:p>
            <w:pPr>
              <w:spacing w:line="240" w:lineRule="auto"/>
            </w:pPr>
            <w:r/>
            <w:r>
              <w:rPr>
                <w:sz w:val="17"/>
              </w:rPr>
              <w:t>Cifrado en reposo de datos bancarios (pgcrypto o cifrado a nivel de aplicación) y mensajes de error genéricos.</w:t>
            </w:r>
          </w:p>
        </w:tc>
        <w:tc>
          <w:tcPr>
            <w:tcW w:type="dxa" w:w="1928"/>
          </w:tcPr>
          <w:p>
            <w:pPr>
              <w:spacing w:line="240" w:lineRule="auto"/>
            </w:pPr>
            <w:r/>
            <w:r>
              <w:rPr>
                <w:sz w:val="17"/>
              </w:rPr>
              <w:t>INC-11, 12</w:t>
            </w:r>
          </w:p>
        </w:tc>
      </w:tr>
      <w:tr>
        <w:tc>
          <w:tcPr>
            <w:tcW w:type="dxa" w:w="1587"/>
          </w:tcPr>
          <w:p>
            <w:pPr>
              <w:spacing w:line="240" w:lineRule="auto"/>
            </w:pPr>
            <w:r/>
            <w:r>
              <w:rPr>
                <w:sz w:val="17"/>
              </w:rPr>
              <w:t>Continua</w:t>
            </w:r>
          </w:p>
        </w:tc>
        <w:tc>
          <w:tcPr>
            <w:tcW w:type="dxa" w:w="5783"/>
          </w:tcPr>
          <w:p>
            <w:pPr>
              <w:spacing w:line="240" w:lineRule="auto"/>
            </w:pPr>
            <w:r/>
            <w:r>
              <w:rPr>
                <w:sz w:val="17"/>
              </w:rPr>
              <w:t>Integrar SonarQube, Semgrep y npm audit en el pipeline de CI con quality gate: no se integra código con vulnerabilidades críticas o calificación de seguridad inferior a B.</w:t>
            </w:r>
          </w:p>
        </w:tc>
        <w:tc>
          <w:tcPr>
            <w:tcW w:type="dxa" w:w="1928"/>
          </w:tcPr>
          <w:p>
            <w:pPr>
              <w:spacing w:line="240" w:lineRule="auto"/>
            </w:pPr>
            <w:r/>
            <w:r>
              <w:rPr>
                <w:sz w:val="17"/>
              </w:rPr>
              <w:t>Todos</w:t>
            </w:r>
          </w:p>
        </w:tc>
      </w:tr>
    </w:tbl>
    <w:p/>
    <w:p>
      <w:pPr>
        <w:jc w:val="both"/>
      </w:pPr>
      <w:r>
        <w:t>Como cierre, el ciclo demostró que el análisis estático por sí solo no basta: SonarQube entregó mantenibilidad A, pero los incidentes más graves (control de acceso) solo aparecieron al combinar revisión manual y pruebas dinámicas. Por ello se recomienda mantener las tres técnicas en cada iteración y repetir este plan de pruebas como prueba de regresión tras aplicar las correcciones.</w:t>
      </w:r>
    </w:p>
    <w:p>
      <w:r>
        <w:br w:type="page"/>
      </w:r>
    </w:p>
    <w:p>
      <w:pPr>
        <w:pStyle w:val="Heading1"/>
      </w:pPr>
      <w:r>
        <w:t>Anexo – Guía de ejecución de casos (para capturar evidencias)</w:t>
      </w:r>
    </w:p>
    <w:p>
      <w:pPr>
        <w:jc w:val="both"/>
      </w:pPr>
      <w:r>
        <w:t>Ejecutar en Git Bash desde la carpeta del proyecto, con Docker Desktop abierto. Tomar una captura de cada salida.</w:t>
      </w:r>
    </w:p>
    <w:p>
      <w:pPr>
        <w:spacing w:line="240" w:lineRule="auto"/>
      </w:pPr>
      <w:r>
        <w:rPr>
          <w:rFonts w:ascii="Consolas" w:hAnsi="Consolas" w:eastAsia="Consolas"/>
          <w:sz w:val="17"/>
        </w:rPr>
        <w:t># 0. Levantar el entorno</w:t>
        <w:br/>
        <w:t>docker compose up -d --build</w:t>
        <w:br/>
        <w:t>API=http://localhost:4450</w:t>
        <w:br/>
        <w:br/>
        <w:t># CP-01 Login válido, contraseña errónea y usuario inexistente (observar time_total)</w:t>
        <w:br/>
        <w:t>curl -s -w "\nHTTP %{http_code}  tiempo %{time_total}s\n" -X POST $API/autenticacion/login -H "Content-Type: application/json" -d '{"nombre_usuario":"admin","password":"admin"}'</w:t>
        <w:br/>
        <w:t>curl -s -w "\nHTTP %{http_code}  tiempo %{time_total}s\n" -X POST $API/autenticacion/login -H "Content-Type: application/json" -d '{"nombre_usuario":"admin","password":"Incorrecta1!"}'</w:t>
        <w:br/>
        <w:t>curl -s -w "\nHTTP %{http_code}  tiempo %{time_total}s\n" -X POST $API/autenticacion/login -H "Content-Type: application/json" -d '{"nombre_usuario":"noexiste","password":"1234"}'</w:t>
        <w:br/>
        <w:br/>
        <w:t># Guardar tokens</w:t>
        <w:br/>
        <w:t>ADMIN=$(curl -s -X POST $API/autenticacion/login -H "Content-Type: application/json" -d '{"nombre_usuario":"admin","password":"admin"}' | sed 's/.*"token":"\([^"]*\)".*/\1/')</w:t>
        <w:br/>
        <w:t>EDITOR=$(curl -s -X POST $API/autenticacion/login -H "Content-Type: application/json" -d '{"nombre_usuario":"editor","password":"editor"}' | sed 's/.*"token":"\([^"]*\)".*/\1/')</w:t>
        <w:br/>
        <w:br/>
        <w:t># CP-02 Logout y reutilización del token</w:t>
        <w:br/>
        <w:t>curl -s -w "\nHTTP %{http_code}\n" -X POST $API/autenticacion/logout -H "Authorization: Bearer $ADMIN"</w:t>
        <w:br/>
        <w:t>curl -s -o /dev/null -w "HTTP %{http_code}\n" $API/clientes -H "Authorization: Bearer $ADMIN"</w:t>
        <w:br/>
        <w:br/>
        <w:t># CP-07 Escrituras con rol editor (esperado 403; observado 201/200)</w:t>
        <w:br/>
        <w:t>curl -s -w "\nHTTP %{http_code}\n" -X POST $API/clientes -H "Authorization: Bearer $EDITOR" -H "Content-Type: application/json" -d '{"nombre":"Cliente Test","correo":"test@test.cl","telefono":"911111111","direccion":"Calle 1"}'</w:t>
        <w:br/>
        <w:t>curl -s -w "\nHTTP %{http_code}\n" -X PUT $API/clientes/1 -H "Authorization: Bearer $EDITOR" -H "Content-Type: application/json" -d '{"nombre":"Editado por editor","correo":"maria@example.com"}'</w:t>
        <w:br/>
        <w:br/>
        <w:t># CP-13 Subida de archivos no permitidos (crear archivos de prueba)</w:t>
        <w:br/>
        <w:t>echo "MZ prueba" &gt; prueba.exe; echo "&lt;?php echo 1; ?&gt;" &gt; shell.pdf; head -c 15000000 /dev/zero &gt; relleno.pdf</w:t>
        <w:br/>
        <w:t>for f in prueba.exe shell.pdf relleno.pdf; do curl -s -o /dev/null -w "$f -&gt; HTTP %{http_code}\n" -X POST $API/contratos -F cliente_id=1 -F titulo="Contrato prueba" -F fecha_inicio=2026-01-01 -F fecha_fin=2026-12-31 -F file=@$f; done</w:t>
        <w:br/>
        <w:br/>
        <w:t># CP-17 Auditoría sin token y registro falso</w:t>
        <w:br/>
        <w:t>curl -s -o /dev/null -w "GET sin token -&gt; HTTP %{http_code}\n" $API/auditoria</w:t>
        <w:br/>
        <w:t>curl -s -w "\nHTTP %{http_code}\n" -X POST $API/auditoria -H "Authorization: Bearer $EDITOR" -H "Content-Type: application/json" -d '{"accion":"PRUEBA","detalles":"registro falso"}'</w:t>
        <w:br/>
        <w:br/>
        <w:t># CP-19 / CP-20 Contraseñas y datos bancarios en la BD</w:t>
        <w:br/>
        <w:t>docker exec -it atlas-postgres psql -U postgres -d atlas -c "SELECT nombre_usuario, contrasena_hash FROM usuarios;" -c "SELECT nombre, rut, nombre_banco, numero_cuenta FROM clientes;"</w:t>
        <w:br/>
        <w:br/>
        <w:t># CP-21 IDOR: lectura y borrado sin token (ejecutar el DELETE al final, borra el contrato 2)</w:t>
        <w:br/>
        <w:t>curl -s -w "\nHTTP %{http_code}\n" $API/contratos/1</w:t>
        <w:br/>
        <w:t>curl -s -o /dev/null -w "file sin token -&gt; HTTP %{http_code}\n" $API/contratos/1/file</w:t>
        <w:br/>
        <w:t>curl -s -w "\nHTTP %{http_code}\n" -X DELETE $API/contratos/2</w:t>
        <w:br/>
        <w:br/>
        <w:t># CP-22 Inyección SQL (el XSS se verifica en la interfaz creando el cliente &lt;script&gt;alert(1)&lt;/script&gt;)</w:t>
        <w:br/>
        <w:t>curl -s -w "\nHTTP %{http_code}\n" -X POST $API/autenticacion/login -H "Content-Type: application/json" -d "{\"nombre_usuario\":\"' OR '1'='1\",\"password\":\"x\"}"</w:t>
        <w:br/>
        <w:t>curl -s -w "\nHTTP %{http_code}\n" "$API/clientes/search?name=%27%3B%20DROP%20TABLE%20clientes%3B--" -H "Authorization: Bearer $ADMIN"</w:t>
        <w:br/>
      </w:r>
    </w:p>
    <w:p>
      <w:pPr>
        <w:jc w:val="left"/>
      </w:pPr>
      <w:r>
        <w:t>CP-27 (k6): guardar como cp27.js y ejecutar con: docker run --rm -i --add-host=host.docker.internal:host-gateway -e TOKEN=$ADMIN grafana/k6 run - &lt; cp27.js</w:t>
      </w:r>
    </w:p>
    <w:p>
      <w:pPr>
        <w:spacing w:line="240" w:lineRule="auto"/>
      </w:pPr>
      <w:r>
        <w:rPr>
          <w:rFonts w:ascii="Consolas" w:hAnsi="Consolas" w:eastAsia="Consolas"/>
          <w:sz w:val="17"/>
        </w:rPr>
        <w:t>import http from 'k6/http';</w:t>
        <w:br/>
        <w:t>import { check } from 'k6';</w:t>
        <w:br/>
        <w:t>export const options = { vus: 50, duration: '1m', thresholds: { http_req_duration: ['p(95)&lt;300'], http_req_failed: ['rate==0'] } };</w:t>
        <w:br/>
        <w:t>const API = 'http://host.docker.internal:4450';</w:t>
        <w:br/>
        <w:t>const H = { headers: { Authorization: `Bearer ${__ENV.TOKEN}`, 'Content-Type': 'application/json' } };</w:t>
        <w:br/>
        <w:t>export default function () {</w:t>
        <w:br/>
        <w:t xml:space="preserve">  check(http.get(`${API}/clientes`, H), { 'GET 200': r =&gt; r.status === 200 });</w:t>
        <w:br/>
        <w:t xml:space="preserve">  const n = `${__VU}-${__ITER}-${Date.now()}`;</w:t>
        <w:br/>
        <w:t xml:space="preserve">  check(http.post(`${API}/clientes`, JSON.stringify({ nombre: `k6 ${n}`, correo: `k6${n}@test.cl` }), H), { 'POST 201': r =&gt; r.status === 201 });</w:t>
        <w:br/>
        <w:t>}</w:t>
      </w:r>
    </w:p>
    <w:p>
      <w:pPr>
        <w:jc w:val="both"/>
      </w:pPr>
      <w:r>
        <w:t>Si algún resultado real difiere del registrado en la tabla 5.2 (por ejemplo, un caso que aprueba), corregir la fila y el resumen 5.1 antes de entregar: el informe debe reflejar lo que efectivamente se observó.</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