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  <w:ind w:firstLine="0"/>
      </w:pPr>
      <w:r>
        <w:rPr>
          <w:b w:val="0"/>
          <w:i w:val="0"/>
        </w:rPr>
      </w:r>
    </w:p>
    <w:p>
      <w:pPr>
        <w:spacing w:after="120"/>
        <w:ind w:firstLine="0"/>
        <w:jc w:val="center"/>
      </w:pPr>
      <w:r>
        <w:rPr>
          <w:b w:val="0"/>
          <w:i w:val="0"/>
        </w:rPr>
        <w:t>Исследовательский проект</w:t>
      </w:r>
    </w:p>
    <w:p>
      <w:pPr>
        <w:spacing w:after="480"/>
        <w:ind w:firstLine="0"/>
        <w:jc w:val="center"/>
      </w:pPr>
      <w:r>
        <w:rPr>
          <w:b/>
          <w:i w:val="0"/>
        </w:rPr>
        <w:t>«Межрегиональное распространение продовольственной инфляции в России: источники, каналы и лаги передачи ценовых шоков»</w:t>
      </w:r>
    </w:p>
    <w:p>
      <w:pPr>
        <w:spacing w:after="240"/>
        <w:ind w:firstLine="0"/>
        <w:jc w:val="center"/>
      </w:pPr>
      <w:r>
        <w:rPr>
          <w:b/>
          <w:i w:val="0"/>
        </w:rPr>
        <w:t>ОТЧЁТ О ПРОДЕЛАННОЙ РАБОТЕ</w:t>
      </w:r>
    </w:p>
    <w:p>
      <w:pPr>
        <w:spacing w:after="4000"/>
        <w:ind w:firstLine="0"/>
        <w:jc w:val="center"/>
      </w:pPr>
      <w:r>
        <w:rPr>
          <w:b w:val="0"/>
          <w:i/>
        </w:rPr>
        <w:t>Концепция индекса, собранные данные и исследовательская лаборатория</w:t>
      </w:r>
    </w:p>
    <w:p>
      <w:pPr>
        <w:spacing w:after="120"/>
        <w:ind w:firstLine="0"/>
        <w:jc w:val="center"/>
      </w:pPr>
      <w:r>
        <w:rPr>
          <w:b w:val="0"/>
          <w:i w:val="0"/>
        </w:rPr>
        <w:t>Август 2026 г.</w:t>
      </w:r>
    </w:p>
    <w:p>
      <w:r>
        <w:br w:type="page"/>
      </w:r>
    </w:p>
    <w:p>
      <w:pPr>
        <w:pStyle w:val="Heading1"/>
      </w:pPr>
      <w:r>
        <w:t>Введение</w:t>
      </w:r>
    </w:p>
    <w:p>
      <w:pPr>
        <w:spacing w:after="120"/>
        <w:ind w:firstLine="0"/>
      </w:pPr>
      <w:r>
        <w:rPr>
          <w:b w:val="0"/>
          <w:i w:val="0"/>
        </w:rPr>
        <w:t>Настоящий отчёт подводит промежуточный итог работы над исследовательским проектом, выполняемым в рамках утверждённой формулировки задачи исследования. За отчётный период выстроены три опоры проекта: (1) содержательная концепция исследуемого индекса инфляционного импульса, реализующая утверждённую задачу; (2) корпус региональных данных, собранный из официальных и открытых источников и приведённый к единому формату; (3) программная лаборатория, обеспечивающая воспроизводимость всех расчётов. Отчёт состоит из трёх разделов, соответствующих этим опорам.</w:t>
      </w:r>
    </w:p>
    <w:p>
      <w:pPr>
        <w:pStyle w:val="Heading1"/>
      </w:pPr>
      <w:r>
        <w:t>1. Концепция индекса: тело, транспорт, среда</w:t>
      </w:r>
    </w:p>
    <w:p>
      <w:pPr>
        <w:pStyle w:val="Heading2"/>
      </w:pPr>
      <w:r>
        <w:t>1.1. Утверждённая задача исследования</w:t>
      </w:r>
    </w:p>
    <w:p>
      <w:pPr>
        <w:spacing w:after="120"/>
        <w:ind w:firstLine="0"/>
      </w:pPr>
      <w:r>
        <w:rPr>
          <w:b w:val="0"/>
          <w:i w:val="0"/>
        </w:rPr>
        <w:t>Исследование выполняется строго в рамках утверждённой формулировки задачи. Цель — разработать и эмпирически проверить модель межрегионального распространения продовольственной инфляции в России: установить наличие, силу, направление и лаги передачи ценовых шоков между субъектами РФ, определить регионы-источники, регионы-получатели и основные каналы распространения.</w:t>
      </w:r>
    </w:p>
    <w:p>
      <w:pPr>
        <w:spacing w:after="120"/>
        <w:ind w:firstLine="0"/>
      </w:pPr>
      <w:r>
        <w:rPr>
          <w:b w:val="0"/>
          <w:i w:val="0"/>
        </w:rPr>
        <w:t>Основная гипотеза: ускорение продовольственной инфляции в регионе или группе связанных регионов приводит к последующему ускорению продовольственной инфляции в других регионах, причём сила и скорость передачи зависят от характера межрегиональных связей. Дополнительные гипотезы уточняют её:</w:t>
      </w:r>
    </w:p>
    <w:p>
      <w:pPr>
        <w:pStyle w:val="ListBullet"/>
        <w:spacing w:after="60"/>
      </w:pPr>
      <w:r>
        <w:t>H1 — передача сильнее между территориально близкими и граничащими регионами;</w:t>
      </w:r>
    </w:p>
    <w:p>
      <w:pPr>
        <w:pStyle w:val="ListBullet"/>
        <w:spacing w:after="60"/>
      </w:pPr>
      <w:r>
        <w:t>H2 — помимо соседства, роль играют общий федеральный округ, транспортная и экономическая связанность;</w:t>
      </w:r>
    </w:p>
    <w:p>
      <w:pPr>
        <w:pStyle w:val="ListBullet"/>
        <w:spacing w:after="60"/>
      </w:pPr>
      <w:r>
        <w:t>H3 — сила передачи различается по товарным группам: для сезонных и логистически чувствительных товаров эффект выраженнее;</w:t>
      </w:r>
    </w:p>
    <w:p>
      <w:pPr>
        <w:pStyle w:val="ListBullet"/>
        <w:spacing w:after="60"/>
      </w:pPr>
      <w:r>
        <w:t>H4 — межрегиональный эффект должен сохраняться после учёта общероссийских макроэкономических шоков и внутренних региональных факторов.</w:t>
      </w:r>
    </w:p>
    <w:p>
      <w:pPr>
        <w:spacing w:after="120"/>
        <w:ind w:firstLine="0"/>
      </w:pPr>
      <w:r>
        <w:rPr>
          <w:b w:val="0"/>
          <w:i w:val="0"/>
        </w:rPr>
        <w:t>Границы: основной период 2015–2025 гг., месячная частота, единица наблюдения — субъект РФ в конкретном месяце, основной показатель — региональная продовольственная инфляция.</w:t>
      </w:r>
    </w:p>
    <w:p>
      <w:pPr>
        <w:pStyle w:val="Heading2"/>
      </w:pPr>
      <w:r>
        <w:t>1.2. Трёхслойная архитектура индекса</w:t>
      </w:r>
    </w:p>
    <w:p>
      <w:pPr>
        <w:spacing w:after="120"/>
        <w:ind w:firstLine="0"/>
      </w:pPr>
      <w:r>
        <w:rPr>
          <w:b w:val="0"/>
          <w:i w:val="0"/>
        </w:rPr>
        <w:t>Рабочая конструкция исследования — индекс инфляционного импульса, собираемый из трёх смысловых слоёв: тело, транспорт и среда. Каждый слой отвечает на один из вопросов утверждённой задачи: что распространяется, по каким каналам и почему регионы по-разному это принимают.</w:t>
      </w:r>
    </w:p>
    <w:p>
      <w:pPr>
        <w:pStyle w:val="Heading3"/>
      </w:pPr>
      <w:r>
        <w:t>Тело: что распространяется</w:t>
      </w:r>
    </w:p>
    <w:p>
      <w:pPr>
        <w:spacing w:after="120"/>
        <w:ind w:firstLine="0"/>
      </w:pPr>
      <w:r>
        <w:rPr>
          <w:b w:val="0"/>
          <w:i w:val="0"/>
        </w:rPr>
        <w:t>Тело импульса — сами ценовые сигналы: региональная продовольственная инфляция и её товарные составляющие (продовольственные группы, отдельные товары, топливо как элемент издержек, алкогольная группа). Обоснование выбора: месячные индексы потребительских цен Росстата — единственный источник, дающий сопоставимые между всеми субъектами РФ месячные ряды за весь период исследования; товарная детализация тела прямо обслуживает гипотезу H3 — сравнение передачи по товарам с разной сезонностью, логистической чувствительностью и структурой потребления.</w:t>
      </w:r>
    </w:p>
    <w:p>
      <w:pPr>
        <w:pStyle w:val="Heading3"/>
      </w:pPr>
      <w:r>
        <w:t>Транспорт: по каким каналам</w:t>
      </w:r>
    </w:p>
    <w:p>
      <w:pPr>
        <w:spacing w:after="120"/>
        <w:ind w:firstLine="0"/>
      </w:pPr>
      <w:r>
        <w:rPr>
          <w:b w:val="0"/>
          <w:i w:val="0"/>
        </w:rPr>
        <w:t>Транспортный слой формализует межрегиональные связи матрицей W: элемент W[j, r] задаёт силу связи региона-источника j с регионом-получателем r. Транспортированный импульс вычисляется как взвешенная сумма лагированных сигналов связанных регионов: incoming[r, t] = Σ W[j, r] × impulse[j, t − lag]. Ключевое исследовательское решение — сравнение НЕСКОЛЬКИХ вариантов матрицы связей, отвечающее на вопрос о главном канале распространения (RQ3 и гипотезы H1–H2):</w:t>
      </w:r>
    </w:p>
    <w:p>
      <w:pPr>
        <w:pStyle w:val="ListBullet"/>
        <w:spacing w:after="60"/>
      </w:pPr>
      <w:r>
        <w:t>общая граница (соседство) — физическая смежность рынков;</w:t>
      </w:r>
    </w:p>
    <w:p>
      <w:pPr>
        <w:pStyle w:val="ListBullet"/>
        <w:spacing w:after="60"/>
      </w:pPr>
      <w:r>
        <w:t>обратное расстояние между административными центрами — затухание с дистанцией;</w:t>
      </w:r>
    </w:p>
    <w:p>
      <w:pPr>
        <w:pStyle w:val="ListBullet"/>
        <w:spacing w:after="60"/>
      </w:pPr>
      <w:r>
        <w:t>общий федеральный округ — административно-логистическая общность;</w:t>
      </w:r>
    </w:p>
    <w:p>
      <w:pPr>
        <w:pStyle w:val="ListBullet"/>
        <w:spacing w:after="60"/>
      </w:pPr>
      <w:r>
        <w:t>железнодорожный слой: узловые веса по вокзалам и матрица прямых магистралей — реальная логистика перевозок;</w:t>
      </w:r>
    </w:p>
    <w:p>
      <w:pPr>
        <w:pStyle w:val="ListBullet"/>
        <w:spacing w:after="60"/>
      </w:pPr>
      <w:r>
        <w:t>автодорожный слой: пропускная способность границ по числу полос федеральных трасс (в сборке).</w:t>
      </w:r>
    </w:p>
    <w:p>
      <w:pPr>
        <w:spacing w:after="120"/>
        <w:ind w:firstLine="0"/>
      </w:pPr>
      <w:r>
        <w:rPr>
          <w:b w:val="0"/>
          <w:i w:val="0"/>
        </w:rPr>
        <w:t>Обоснование: продовольствие физически перемещается по транспортной сети, поэтому географические и инфраструктурные матрицы — естественные кандидаты канала передачи; их сопоставление позволяет отличить простую пространственную корреляцию от передачи по конкретной инфраструктуре.</w:t>
      </w:r>
    </w:p>
    <w:p>
      <w:pPr>
        <w:pStyle w:val="Heading3"/>
      </w:pPr>
      <w:r>
        <w:t>Среда: почему регионы принимают импульс по-разному</w:t>
      </w:r>
    </w:p>
    <w:p>
      <w:pPr>
        <w:spacing w:after="120"/>
        <w:ind w:firstLine="0"/>
      </w:pPr>
      <w:r>
        <w:rPr>
          <w:b w:val="0"/>
          <w:i w:val="0"/>
        </w:rPr>
        <w:t>Средовый слой описывает восприимчивость региона к входящему импульсу. Один и тот же внешний шок в разных регионах даёт разный ценовой отклик — в зависимости от собственной продовольственной базы, структуры спроса и издержек. В модель среда входит через взаимодействия с транспортированным импульсом, что позволяет оценивать, какие характеристики усиливают или гасят передачу. Собранные средовые слои:</w:t>
      </w:r>
    </w:p>
    <w:p>
      <w:pPr>
        <w:pStyle w:val="ListBullet"/>
        <w:spacing w:after="60"/>
      </w:pPr>
      <w:r>
        <w:t>собственная пищевая база: продукция сельского хозяйства, индекс производства пищевых продуктов — потенциальный буфер или, напротив, индикатор включённости в межрегиональную торговлю;</w:t>
      </w:r>
    </w:p>
    <w:p>
      <w:pPr>
        <w:pStyle w:val="ListBullet"/>
        <w:spacing w:after="60"/>
      </w:pPr>
      <w:r>
        <w:t>доходы, заработная плата, безработица — платёжеспособность и эластичность спроса;</w:t>
      </w:r>
    </w:p>
    <w:p>
      <w:pPr>
        <w:pStyle w:val="ListBullet"/>
        <w:spacing w:after="60"/>
      </w:pPr>
      <w:r>
        <w:t>половозрастная структура — доля старших возрастов как индикатор неэластичного спроса при фиксированных доходах;</w:t>
      </w:r>
    </w:p>
    <w:p>
      <w:pPr>
        <w:pStyle w:val="ListBullet"/>
        <w:spacing w:after="60"/>
      </w:pPr>
      <w:r>
        <w:t>этнокультурная структура потребления (по переписи) — различия продовольственной корзины, дающие дифференциальные предсказания по товарам (H3);</w:t>
      </w:r>
    </w:p>
    <w:p>
      <w:pPr>
        <w:pStyle w:val="ListBullet"/>
        <w:spacing w:after="60"/>
      </w:pPr>
      <w:r>
        <w:t>тарифы ЖКХ — издержковый канал торговли и хранения; их административная индексация делает динамику квазиэкзогенной;</w:t>
      </w:r>
    </w:p>
    <w:p>
      <w:pPr>
        <w:pStyle w:val="ListBullet"/>
        <w:spacing w:after="60"/>
      </w:pPr>
      <w:r>
        <w:t>туристическая инфраструктура — приезжий спрос как усилитель зависимости от ввоза;</w:t>
      </w:r>
    </w:p>
    <w:p>
      <w:pPr>
        <w:pStyle w:val="ListBullet"/>
        <w:spacing w:after="60"/>
      </w:pPr>
      <w:r>
        <w:t>климат: температурные аномалии — экзогенные шоки предложения, редкая возможность приблизиться к причинной идентификации канала передачи.</w:t>
      </w:r>
    </w:p>
    <w:p>
      <w:pPr>
        <w:pStyle w:val="Heading2"/>
      </w:pPr>
      <w:r>
        <w:t>1.3. Модельная рамка</w:t>
      </w:r>
    </w:p>
    <w:p>
      <w:pPr>
        <w:spacing w:after="120"/>
        <w:ind w:firstLine="0"/>
      </w:pPr>
      <w:r>
        <w:rPr>
          <w:b w:val="0"/>
          <w:i w:val="0"/>
        </w:rPr>
        <w:t>Слои собираются в панельную регрессию по субъектам и месяцам с фиксированными эффектами регионов и времени: продовольственная инфляция региона объясняется её собственными лагами, транспортированным импульсом соседей на лагах 1–6 месяцев, средовыми контролями и взаимодействиями. Фиксированные эффекты времени поглощают общероссийские макрошоки (курс, ключевая ставка, федеральные решения), фиксированные эффекты регионов — постоянные региональные особенности; тем самым конструкция модели напрямую реализует требование гипотезы H4. Стандартные ошибки кластеризуются по регионам. Такая спецификация — пространственно-лаговая панель — является стандартом пространственной эконометрики и при этом полностью объяснима: каждый её элемент имеет прозрачную содержательную интерпретацию.</w:t>
      </w:r>
    </w:p>
    <w:p>
      <w:r>
        <w:br w:type="page"/>
      </w:r>
    </w:p>
    <w:p>
      <w:pPr>
        <w:pStyle w:val="Heading1"/>
      </w:pPr>
      <w:r>
        <w:t>2. Собранные данные</w:t>
      </w:r>
    </w:p>
    <w:p>
      <w:pPr>
        <w:pStyle w:val="Heading2"/>
      </w:pPr>
      <w:r>
        <w:t>2.1. Принципы сбора</w:t>
      </w:r>
    </w:p>
    <w:p>
      <w:pPr>
        <w:pStyle w:val="ListBullet"/>
        <w:spacing w:after="60"/>
      </w:pPr>
      <w:r>
        <w:t>Единый формат: каждый ряд приводится к виду «регион / период / значение».</w:t>
      </w:r>
    </w:p>
    <w:p>
      <w:pPr>
        <w:pStyle w:val="ListBullet"/>
        <w:spacing w:after="60"/>
      </w:pPr>
      <w:r>
        <w:t>Региональная гармонизация: 104 региональных наименования Росстата сведены к 85 субъектам; экономические районы, исторические округа и частичные territории исключены по явным правилам (файл соответствий хранится в проекте).</w:t>
      </w:r>
    </w:p>
    <w:p>
      <w:pPr>
        <w:pStyle w:val="ListBullet"/>
        <w:spacing w:after="60"/>
      </w:pPr>
      <w:r>
        <w:t>Паспортизация: для каждого фактора фиксируются источник, частота, период, единицы, ожидаемый знак и статус допуска в расчёты.</w:t>
      </w:r>
    </w:p>
    <w:p>
      <w:pPr>
        <w:pStyle w:val="ListBullet"/>
        <w:spacing w:after="60"/>
      </w:pPr>
      <w:r>
        <w:t>Воспроизводимость: каждый набор скачивается скриптом, журналируется манифестом и версионируется в репозитории GitHub; любой набор можно перекачать одной командой.</w:t>
      </w:r>
    </w:p>
    <w:p>
      <w:pPr>
        <w:pStyle w:val="Heading2"/>
      </w:pPr>
      <w:r>
        <w:t>2.2. Цель и тело: ценовые ряды</w:t>
      </w:r>
    </w:p>
    <w:p>
      <w:pPr>
        <w:spacing w:after="120"/>
        <w:ind w:firstLine="0"/>
      </w:pPr>
      <w:r>
        <w:rPr>
          <w:b w:val="0"/>
          <w:i w:val="0"/>
        </w:rPr>
        <w:t>Источник — показатель Росстата (ЕМИСС/Fedstat) 31074 «Индексы потребительских цен на товары и услуги», метрика «к предыдущему месяцу». Покрытие: 2002-01 — 2026-06, все 85 субъектов.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</w:tcPr>
          <w:p>
            <w:r>
              <w:rPr>
                <w:b/>
                <w:sz w:val="20"/>
              </w:rPr>
              <w:t>Набор</w:t>
            </w:r>
          </w:p>
        </w:tc>
        <w:tc>
          <w:tcPr>
            <w:tcW w:type="dxa" w:w="4252"/>
          </w:tcPr>
          <w:p>
            <w:r>
              <w:rPr>
                <w:b/>
                <w:sz w:val="20"/>
              </w:rPr>
              <w:t>Состав</w:t>
            </w:r>
          </w:p>
        </w:tc>
        <w:tc>
          <w:tcPr>
            <w:tcW w:type="dxa" w:w="2835"/>
          </w:tcPr>
          <w:p>
            <w:r>
              <w:rPr>
                <w:b/>
                <w:sz w:val="20"/>
              </w:rPr>
              <w:t>Использование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Целевые ряды (D01–D04)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ИПЦ: общий, продовольственный, непродовольственный, услуги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Продовольственный — зависимая переменная; остальные — контроль и сравнение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Группы тела (D05–D08)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Продовольствие без алкоголя; без овощей и фруктов; необязательного пользования; непродовольственные группы; бензин, дизель, моторное топливо; пассажирский, ж/д, авиатранспорт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Кандидаты тела индекса; топливо и тарифы — издержковый канал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Товарные ряды (диф-тест H3)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Свинина, говядина, баранина, мясо птицы, алкогольные напитки, водка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Дифференциальная проверка товарного канала: передача по товарам с разной структурой потребления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Тарифы ЖКХ (D25)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Услуги организаций ЖКХ, 2008–2026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Издержковый контроль; квазиэкзогенная административная индексация</w:t>
            </w:r>
          </w:p>
        </w:tc>
      </w:tr>
    </w:tbl>
    <w:p/>
    <w:p>
      <w:pPr>
        <w:pStyle w:val="Heading2"/>
      </w:pPr>
      <w:r>
        <w:t>2.3. Транспортный слой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68"/>
          </w:tcPr>
          <w:p>
            <w:r>
              <w:rPr>
                <w:b/>
                <w:sz w:val="20"/>
              </w:rPr>
              <w:t>Набор</w:t>
            </w:r>
          </w:p>
        </w:tc>
        <w:tc>
          <w:tcPr>
            <w:tcW w:type="dxa" w:w="3969"/>
          </w:tcPr>
          <w:p>
            <w:r>
              <w:rPr>
                <w:b/>
                <w:sz w:val="20"/>
              </w:rPr>
              <w:t>Источник и объём</w:t>
            </w:r>
          </w:p>
        </w:tc>
        <w:tc>
          <w:tcPr>
            <w:tcW w:type="dxa" w:w="3402"/>
          </w:tcPr>
          <w:p>
            <w:r>
              <w:rPr>
                <w:b/>
                <w:sz w:val="20"/>
              </w:rPr>
              <w:t>Использование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Справочник регионов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85 субъектов: федеральный округ, столица, координаты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Основа всех матриц связей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Границы регионов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geoBoundaries ADM1, 83 полигона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Геометрия для соседства и привязки точечных данных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Матрица соседства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190 пар с общей границей (вычислена из полигонов)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Главный канал H1; основа взвешенных вариантов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Расстояния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Хаверсин между столицами, все пары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Канал затухания с дистанцией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ЖД-вокзалы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OpenStreetMap: 6 168 станций (без метро), привязаны к субъектам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Узловые веса: соседи с крупными узлами передают сильнее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ЖД-магистрали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OpenStreetMap, магистральные линии (сборка завершается)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Матрица «прямая магистраль между регионами» (H2, транспортная связанность)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Автодороги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OpenStreetMap: федеральные трассы с полосностью (в сборке)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Пропускная способность границ; платные участки — надбавка коридора</w:t>
            </w:r>
          </w:p>
        </w:tc>
      </w:tr>
    </w:tbl>
    <w:p/>
    <w:p>
      <w:pPr>
        <w:pStyle w:val="Heading2"/>
      </w:pPr>
      <w:r>
        <w:t>2.4. Средовый слой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</w:tcPr>
          <w:p>
            <w:r>
              <w:rPr>
                <w:b/>
                <w:sz w:val="20"/>
              </w:rPr>
              <w:t>Набор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Источник, период</w:t>
            </w:r>
          </w:p>
        </w:tc>
        <w:tc>
          <w:tcPr>
            <w:tcW w:type="dxa" w:w="3402"/>
          </w:tcPr>
          <w:p>
            <w:r>
              <w:rPr>
                <w:b/>
                <w:sz w:val="20"/>
              </w:rPr>
              <w:t>Использование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Продукция сельского хозяйства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ЕМИСС 43337, 1991–2024, все категории хозяйств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Пищевая база региона; взаимодействие с входящим импульсом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Индекс производства пищевых продуктов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ЕМИСС 57807 (ОКВЭД2), 2015–2024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Динамика пищевой промышленности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Среднедушевые доходы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ЕМИСС 57039, кварталы, 1995–2026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Платёжеспособность спроса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Заработная плата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ЕМИСС 56791, 2015–2023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Дополнение к доходам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Безработица (МОТ)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ЕМИСС 43062, кварталы, 2000–2025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Состояние спроса и рынка труда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Численность населения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ЕМИСС 31557, 1990–2025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Нормировки «на душу»; веса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Половозрастная структура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ЕМИСС 31548/33459, 1990–2025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Доля старших возрастов — модератор эластичности спроса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Рождаемость и смертность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ЕМИСС 31606/31617, 1990–2023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Демографические контроли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Этнокультурная структура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Перепись ВПН-2020, том 5: национальный состав 88 регионов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Структура потребления; дифференциальный тест H3 по товарам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Туристическая инфраструктура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OpenStreetMap: 14 754 отеля, 14 835 ресторанов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Приезжий спрос как усилитель восприимчивости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Валютный курс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Банк России, месячные средние USD/EUR, 2014–2026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Внешний шок; взаимодействия с импортозависимостью</w:t>
            </w:r>
          </w:p>
        </w:tc>
      </w:tr>
    </w:tbl>
    <w:p/>
    <w:p>
      <w:pPr>
        <w:pStyle w:val="Heading2"/>
      </w:pPr>
      <w:r>
        <w:t>2.5. Климатический слой</w:t>
      </w:r>
    </w:p>
    <w:p>
      <w:pPr>
        <w:spacing w:after="120"/>
        <w:ind w:firstLine="0"/>
      </w:pPr>
      <w:r>
        <w:rPr>
          <w:b w:val="0"/>
          <w:i w:val="0"/>
        </w:rPr>
        <w:t>Источник — глобальный архив месячной температуры NOAA GHCN-M v4 (контроль качества QCF): 939 российских станций, из них 865 привязаны к полигонам субъектов. Для каждого региона и месяца рассчитана аномалия температуры относительно климатической нормали 1991–2020 гг. этого региона и календарного месяца; ряд покрывает 2014-01 — 2026-06 по 82 субъектам. Планируемое использование двоякое: контроль локальных шоков предложения (заморозки, засухи) и — главное — источник экзогенной вариации: погодный шок в регионе-производителе не может быть вызван ценами, поэтому его распространение на соседние регионы служит квазипричинным свидетельством товарного канала передачи. Осадки планируется добавить из реанализа ERA5 (требуется регистрация).</w:t>
      </w:r>
    </w:p>
    <w:p>
      <w:pPr>
        <w:pStyle w:val="Heading2"/>
      </w:pPr>
      <w:r>
        <w:t>2.6. Инфраструктура сбора</w:t>
      </w:r>
    </w:p>
    <w:p>
      <w:pPr>
        <w:pStyle w:val="ListBullet"/>
        <w:spacing w:after="60"/>
      </w:pPr>
      <w:r>
        <w:t>Чанковый загрузчик Fedstat: обходит ограничение формата .xls в 256 колонок (из-за которого полная история обрезалась) скачиванием по 13 лет со склейкой.</w:t>
      </w:r>
    </w:p>
    <w:p>
      <w:pPr>
        <w:pStyle w:val="ListBullet"/>
        <w:spacing w:after="60"/>
      </w:pPr>
      <w:r>
        <w:t>Универсальный загрузчик ЕМИСС: скачивает любой показатель по его номеру — автоматически распознаёт измерения (годы, периоды, регионы), выгружает Excel кусками и нормализует в единый формат.</w:t>
      </w:r>
    </w:p>
    <w:p>
      <w:pPr>
        <w:pStyle w:val="ListBullet"/>
        <w:spacing w:after="60"/>
      </w:pPr>
      <w:r>
        <w:t>Полосная выгрузка OpenStreetMap: карта России режется на долготные полосы с кэшированием на диск и автоматическим делением перегруженных полос.</w:t>
      </w:r>
    </w:p>
    <w:p>
      <w:pPr>
        <w:pStyle w:val="ListBullet"/>
        <w:spacing w:after="60"/>
      </w:pPr>
      <w:r>
        <w:t>Контроль качества: манифест каждой загрузки, сверка контрольных сумм (например, итог переписи 147 182 123 человека сошёлся с официальным).</w:t>
      </w:r>
    </w:p>
    <w:p>
      <w:pPr>
        <w:pStyle w:val="Heading2"/>
      </w:pPr>
      <w:r>
        <w:t>2.7. Очередь сбора</w:t>
      </w:r>
    </w:p>
    <w:p>
      <w:pPr>
        <w:spacing w:after="120"/>
        <w:ind w:firstLine="0"/>
      </w:pPr>
      <w:r>
        <w:rPr>
          <w:b w:val="0"/>
          <w:i w:val="0"/>
        </w:rPr>
        <w:t>Остаются в работе: автодорожная матрица (полосность; сборка идёт), осадки ERA5, холодовые склады (разведка отраслевых источников), региональный индекс тревожности (проверка существования месячной панели), кадастровая стоимость промышленно-складских земель (фонд данных Росреестра).</w:t>
      </w:r>
    </w:p>
    <w:p>
      <w:r>
        <w:br w:type="page"/>
      </w:r>
    </w:p>
    <w:p>
      <w:pPr>
        <w:pStyle w:val="Heading1"/>
      </w:pPr>
      <w:r>
        <w:t>3. Лаборатория индекса</w:t>
      </w:r>
    </w:p>
    <w:p>
      <w:pPr>
        <w:pStyle w:val="Heading2"/>
      </w:pPr>
      <w:r>
        <w:t>3.1. Назначение и состав</w:t>
      </w:r>
    </w:p>
    <w:p>
      <w:pPr>
        <w:spacing w:after="120"/>
        <w:ind w:firstLine="0"/>
      </w:pPr>
      <w:r>
        <w:rPr>
          <w:b w:val="0"/>
          <w:i w:val="0"/>
        </w:rPr>
        <w:t>Лаборатория индекса — специализированное программное обеспечение проекта, решающее три задачи: управляемый сбор данных, сборка и проверка вариантов индекса, воспроизводимость результатов. Состав: настольное приложение «Fedstat Research Workstation» (загрузка таблиц Росстата, карта регионов, объёмная «волновая» визуализация показателя над картой страны) и приложение «Лаборатория индекса» (каталог факторов, паспорт данных, конструктор рецептов индекса, автоподбор, интерактивная блок-схема исследовательского конвейера).</w:t>
      </w:r>
    </w:p>
    <w:p>
      <w:pPr>
        <w:pStyle w:val="Heading2"/>
      </w:pPr>
      <w:r>
        <w:t>3.2. Исследовательский конвейер</w:t>
      </w:r>
    </w:p>
    <w:p>
      <w:pPr>
        <w:spacing w:after="120"/>
        <w:ind w:firstLine="0"/>
      </w:pPr>
      <w:r>
        <w:rPr>
          <w:b w:val="0"/>
          <w:i w:val="0"/>
        </w:rPr>
        <w:t>Конвейер лаборатории фиксирует путь от сырых данных до научного результата и отображается на стартовом экране в виде интерактивной блок-схемы: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</w:tcPr>
          <w:p>
            <w:r>
              <w:rPr>
                <w:b/>
                <w:sz w:val="20"/>
              </w:rPr>
              <w:t>Блок</w:t>
            </w:r>
          </w:p>
        </w:tc>
        <w:tc>
          <w:tcPr>
            <w:tcW w:type="dxa" w:w="7937"/>
          </w:tcPr>
          <w:p>
            <w:r>
              <w:rPr>
                <w:b/>
                <w:sz w:val="20"/>
              </w:rPr>
              <w:t>Вход → Операция → Выход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Данные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  <w:t>Выгрузки источников → приведение к формату «регион/период/значение» → каталог факторов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Цель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  <w:t>Выбор целевой инфляции → задание горизонта → целевая панель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Шоки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  <w:t>Сырые ряды → преобразования (изменение, отклонение, стандартизация) → сопоставимые импульсы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Тело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  <w:t>Товарные и ценовые ряды → отбор кандидатов → элементы тела с лагами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Среда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  <w:t>Региональные характеристики → проверка усиления/гашения → модераторы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Транспорт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  <w:t>География и инфраструктура → матрицы связей W → транспортированный импульс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Лаги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  <w:t>Кандидаты → проверка задержек 0–6 мес. → временной профиль передачи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Оценка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  <w:t>Панельная регрессия с фиксированными эффектами → коэффициенты и значимость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Рецепт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  <w:t>Отобранные элементы → единый редактируемый рецепт индекса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Проверка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  <w:t>Подпериоды, скользящие окна, плацебо-сети → паспорт устойчивости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Результат</w:t>
            </w:r>
          </w:p>
        </w:tc>
        <w:tc>
          <w:tcPr>
            <w:tcW w:type="dxa" w:w="7937"/>
          </w:tcPr>
          <w:p>
            <w:r>
              <w:rPr>
                <w:sz w:val="20"/>
              </w:rPr>
              <w:t>Карты, таблицы, классификация регионов → материал научной работы</w:t>
            </w:r>
          </w:p>
        </w:tc>
      </w:tr>
    </w:tbl>
    <w:p/>
    <w:p>
      <w:pPr>
        <w:pStyle w:val="Heading2"/>
      </w:pPr>
      <w:r>
        <w:t>3.3. Аналитический контур</w:t>
      </w:r>
    </w:p>
    <w:p>
      <w:pPr>
        <w:spacing w:after="120"/>
        <w:ind w:firstLine="0"/>
      </w:pPr>
      <w:r>
        <w:rPr>
          <w:b w:val="0"/>
          <w:i w:val="0"/>
        </w:rPr>
        <w:t>Расчётная часть реализована набором подписанных скриптов (папка analysis), каждый из которых решает одну задачу и может быть перезапущен независимо:</w:t>
      </w:r>
    </w:p>
    <w:p>
      <w:pPr>
        <w:pStyle w:val="ListBullet"/>
        <w:spacing w:after="60"/>
      </w:pPr>
      <w:r>
        <w:t>загрузчики: Fedstat (чанковый), универсальный ЕМИСС, курс Банка России, климат NOAA, вокзалы/линии/дороги/туризм OpenStreetMap, таблицы переписи;</w:t>
      </w:r>
    </w:p>
    <w:p>
      <w:pPr>
        <w:pStyle w:val="ListBullet"/>
        <w:spacing w:after="60"/>
      </w:pPr>
      <w:r>
        <w:t>геообработка: матрица соседства из полигонов, привязка точек к субъектам, гармонизация региональных наименований;</w:t>
      </w:r>
    </w:p>
    <w:p>
      <w:pPr>
        <w:pStyle w:val="ListBullet"/>
        <w:spacing w:after="60"/>
      </w:pPr>
      <w:r>
        <w:t>дистилляция: приведение скачанных показателей к субъектным панелям (включая официальные возрастные агрегаты и фильтры категорий);</w:t>
      </w:r>
    </w:p>
    <w:p>
      <w:pPr>
        <w:pStyle w:val="ListBullet"/>
        <w:spacing w:after="60"/>
      </w:pPr>
      <w:r>
        <w:t>модели: базовая пространственно-лаговая панель, сравнение матриц связей, климатическая спецификация, средовые взаимодействия, товарный дифференциальный тест, валидация (подпериоды, окна, плацебо);</w:t>
      </w:r>
    </w:p>
    <w:p>
      <w:pPr>
        <w:pStyle w:val="ListBullet"/>
        <w:spacing w:after="60"/>
      </w:pPr>
      <w:r>
        <w:t>визуализация: карты регионов-источников и получателей, график устойчивости.</w:t>
      </w:r>
    </w:p>
    <w:p>
      <w:pPr>
        <w:pStyle w:val="Heading2"/>
      </w:pPr>
      <w:r>
        <w:t>3.4. Хранение и воспроизводимость</w:t>
      </w:r>
    </w:p>
    <w:p>
      <w:pPr>
        <w:spacing w:after="120"/>
        <w:ind w:firstLine="0"/>
      </w:pPr>
      <w:r>
        <w:rPr>
          <w:b w:val="0"/>
          <w:i w:val="0"/>
        </w:rPr>
        <w:t>Проект ведётся в git-репозитории (GitHub, приватный): код, документация, утверждённая формулировка задачи, компактные данные и результаты версионируются; тяжёлые сырые выгрузки исключены и восстанавливаются скриптами. Дорожные карты проекта (вехи M0–M8 и очередь данных D01–D26) ведутся в самом репозитории и обновляются по мере работы — текущее состояние всегда зафиксировано письменно.</w:t>
      </w:r>
    </w:p>
    <w:p>
      <w:pPr>
        <w:pStyle w:val="Heading1"/>
      </w:pPr>
      <w:r>
        <w:t>Заключение и ближайшие шаги</w:t>
      </w:r>
    </w:p>
    <w:p>
      <w:pPr>
        <w:spacing w:after="120"/>
        <w:ind w:firstLine="0"/>
      </w:pPr>
      <w:r>
        <w:rPr>
          <w:b w:val="0"/>
          <w:i w:val="0"/>
        </w:rPr>
        <w:t>Созданы все три опоры исследования: концепция индекса, реализующая утверждённую задачу; корпус данных, покрывающий цель, тело, транспорт, среду и климат (17 наборов собраны полностью, 5 — частично, 4 — в очереди); лаборатория, обеспечивающая воспроизводимость. Ближайшие шаги: завершение автодорожной матрицы и матрицы железнодорожных магистралей, пополнение климатического слоя осадками, оценка полной линейки моделей на всех каналах связи и подготовка текста исследовательской работы.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