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 w:val="0"/>
          <w:i w:val="0"/>
        </w:rPr>
        <w:t>Исследовательский проект</w:t>
      </w:r>
    </w:p>
    <w:p>
      <w:pPr>
        <w:spacing w:after="480"/>
        <w:jc w:val="center"/>
      </w:pPr>
      <w:r>
        <w:rPr>
          <w:b/>
          <w:i w:val="0"/>
        </w:rPr>
        <w:t>«Межрегиональное распространение продовольственной инфляции в России: источники, каналы и лаги передачи ценовых шоков»</w:t>
      </w:r>
    </w:p>
    <w:p>
      <w:pPr>
        <w:spacing w:after="240"/>
        <w:jc w:val="center"/>
      </w:pPr>
      <w:r>
        <w:rPr>
          <w:b/>
          <w:i w:val="0"/>
        </w:rPr>
        <w:t>ОТЧЁТ О ПРОДЕЛАННОЙ РАБОТЕ</w:t>
      </w:r>
    </w:p>
    <w:p>
      <w:pPr>
        <w:spacing w:after="4000"/>
        <w:jc w:val="center"/>
      </w:pPr>
      <w:r>
        <w:rPr>
          <w:b w:val="0"/>
          <w:i/>
        </w:rPr>
        <w:t>Концепция индекса, собранные данные и исследовательская лаборатория</w:t>
      </w:r>
    </w:p>
    <w:p>
      <w:pPr>
        <w:spacing w:after="120"/>
        <w:jc w:val="center"/>
      </w:pPr>
      <w:r>
        <w:rPr>
          <w:b w:val="0"/>
          <w:i w:val="0"/>
        </w:rPr>
        <w:t>Август 2026 г.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after="120"/>
      </w:pPr>
      <w:r>
        <w:rPr>
          <w:b w:val="0"/>
          <w:i w:val="0"/>
        </w:rPr>
        <w:t>Мы изучаем, как рост цен на продукты перетекает из одних регионов России в другие: существует ли такая передача, за сколько месяцев волна доходит до соседей, по каким связям идёт и какие регионы её запускают.</w:t>
      </w:r>
    </w:p>
    <w:p>
      <w:pPr>
        <w:spacing w:after="120"/>
      </w:pPr>
      <w:r>
        <w:rPr>
          <w:b w:val="0"/>
          <w:i w:val="0"/>
        </w:rPr>
        <w:t>Этот отчёт показывает, что уже сделано на пути к ответу. Он устроен так:</w:t>
      </w:r>
    </w:p>
    <w:p>
      <w:pPr>
        <w:pStyle w:val="ListBullet"/>
        <w:spacing w:after="60"/>
      </w:pPr>
      <w:r>
        <w:t>раздел 1 — сама идея исследования и точка, в которой мы находимся;</w:t>
      </w:r>
    </w:p>
    <w:p>
      <w:pPr>
        <w:pStyle w:val="ListBullet"/>
        <w:spacing w:after="60"/>
      </w:pPr>
      <w:r>
        <w:t>раздел 2 — какие данные собраны и, главное, что каждый набор даёт для ответа на вопросы исследования;</w:t>
      </w:r>
    </w:p>
    <w:p>
      <w:pPr>
        <w:pStyle w:val="ListBullet"/>
        <w:spacing w:after="60"/>
      </w:pPr>
      <w:r>
        <w:t>раздел 3 — лаборатория: как устроен путь от сырых цифр до вывода.</w:t>
      </w:r>
    </w:p>
    <w:p>
      <w:pPr>
        <w:pStyle w:val="Heading1"/>
      </w:pPr>
      <w:r>
        <w:t>1. Идея исследования и где мы находимся</w:t>
      </w:r>
    </w:p>
    <w:p>
      <w:pPr>
        <w:pStyle w:val="Heading2"/>
      </w:pPr>
      <w:r>
        <w:t>1.1. Вопросы и гипотезы</w:t>
      </w:r>
    </w:p>
    <w:p>
      <w:pPr>
        <w:spacing w:after="120"/>
      </w:pPr>
      <w:r>
        <w:rPr>
          <w:b w:val="0"/>
          <w:i w:val="0"/>
        </w:rPr>
        <w:t>Утверждённая формулировка задачи ставит цель: построить и проверить на данных модель распространения продовольственной инфляции между субъектами РФ. Мы ищем ответы на четыре вопроса:</w:t>
      </w:r>
    </w:p>
    <w:p>
      <w:pPr>
        <w:pStyle w:val="ListBullet"/>
        <w:spacing w:after="60"/>
      </w:pPr>
      <w:r>
        <w:t>RQ1. Правда ли, что после роста цен у соседей цены растут и в самом регионе?</w:t>
      </w:r>
    </w:p>
    <w:p>
      <w:pPr>
        <w:pStyle w:val="ListBullet"/>
        <w:spacing w:after="60"/>
      </w:pPr>
      <w:r>
        <w:t>RQ2. Через сколько месяцев докатывается волна?</w:t>
      </w:r>
    </w:p>
    <w:p>
      <w:pPr>
        <w:pStyle w:val="ListBullet"/>
        <w:spacing w:after="60"/>
      </w:pPr>
      <w:r>
        <w:t>RQ3. По каким связям она идёт сильнее: граница, расстояние, федеральный округ или транспортные пути?</w:t>
      </w:r>
    </w:p>
    <w:p>
      <w:pPr>
        <w:pStyle w:val="ListBullet"/>
        <w:spacing w:after="60"/>
      </w:pPr>
      <w:r>
        <w:t>RQ4. Какие регионы запускают волны, а какие в основном принимают чужие?</w:t>
      </w:r>
    </w:p>
    <w:p>
      <w:pPr>
        <w:spacing w:after="120"/>
      </w:pPr>
      <w:r>
        <w:rPr>
          <w:b w:val="0"/>
          <w:i w:val="0"/>
        </w:rPr>
        <w:t>И проверяем четыре гипотезы:</w:t>
      </w:r>
    </w:p>
    <w:p>
      <w:pPr>
        <w:pStyle w:val="ListBullet"/>
        <w:spacing w:after="60"/>
      </w:pPr>
      <w:r>
        <w:t>H1. Передача сильнее между граничащими регионами.</w:t>
      </w:r>
    </w:p>
    <w:p>
      <w:pPr>
        <w:pStyle w:val="ListBullet"/>
        <w:spacing w:after="60"/>
      </w:pPr>
      <w:r>
        <w:t>H2. Кроме соседства работают округ и транспортная связанность.</w:t>
      </w:r>
    </w:p>
    <w:p>
      <w:pPr>
        <w:pStyle w:val="ListBullet"/>
        <w:spacing w:after="60"/>
      </w:pPr>
      <w:r>
        <w:t>H3. По разным товарам передача разная.</w:t>
      </w:r>
    </w:p>
    <w:p>
      <w:pPr>
        <w:pStyle w:val="ListBullet"/>
        <w:spacing w:after="60"/>
      </w:pPr>
      <w:r>
        <w:t>H4. Эффект остаётся даже после вычитания общероссийских событий и постоянных особенностей регионов.</w:t>
      </w:r>
    </w:p>
    <w:p>
      <w:pPr>
        <w:spacing w:after="120"/>
      </w:pPr>
      <w:r>
        <w:rPr>
          <w:b w:val="0"/>
          <w:i w:val="0"/>
        </w:rPr>
        <w:t>Рамки: 2015–2025 годы, шаг — месяц, единица — субъект РФ, главный показатель — продовольственная инфляция региона.</w:t>
      </w:r>
    </w:p>
    <w:p>
      <w:pPr>
        <w:pStyle w:val="Heading2"/>
      </w:pPr>
      <w:r>
        <w:t>1.2. Как устроен индекс: тело, транспорт, среда</w:t>
      </w:r>
    </w:p>
    <w:p>
      <w:pPr>
        <w:spacing w:after="120"/>
      </w:pPr>
      <w:r>
        <w:rPr>
          <w:b w:val="0"/>
          <w:i w:val="0"/>
        </w:rPr>
        <w:t>Чтобы описать распространение, нужно знать три вещи. ЧТО распространяется — это слой «тело»: сами ценовые ряды. ПО КАКИМ ПУТЯМ — слой «транспорт»: карта связей между регионами. КТО КАК принимает — слой «среда»: характеристики регионов, усиливающие или гасящие входящую волну.</w:t>
      </w:r>
    </w:p>
    <w:p>
      <w:pPr>
        <w:spacing w:after="120"/>
      </w:pPr>
      <w:r>
        <w:rPr>
          <w:b w:val="0"/>
          <w:i w:val="0"/>
        </w:rPr>
        <w:t>Работает это так. Для каждого региона и месяца мы считаем «входящий импульс» — средний прошлый шок его соседей, взвешенный по силе связей. Потом проверяем: объясняет ли входящий импульс сегодняшнюю инфляцию региона, с какой задержкой и при каких характеристиках среды сильнее. Всё общероссийское (курс, ставка, решения властей) и всё постоянно-региональное вычитается стандартным приёмом — фиксированными эффектами. Так само устройство модели выполняет гипотезу H4: остаётся именно передача между регионами, а не общий фон.</w:t>
      </w:r>
    </w:p>
    <w:p>
      <w:pPr>
        <w:pStyle w:val="Heading2"/>
      </w:pPr>
      <w:r>
        <w:t>1.3. Где мы на пути к цели</w:t>
      </w:r>
    </w:p>
    <w:p>
      <w:pPr>
        <w:spacing w:after="120"/>
      </w:pPr>
      <w:r>
        <w:rPr>
          <w:b w:val="0"/>
          <w:i w:val="0"/>
        </w:rPr>
        <w:t>Главная таблица отчёта. По каждому вопросу исследования — что для него нужно и в каком состоянии это находится: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</w:tcPr>
          <w:p>
            <w:r>
              <w:rPr>
                <w:b/>
                <w:sz w:val="20"/>
              </w:rPr>
              <w:t>Вопрос</w:t>
            </w:r>
          </w:p>
        </w:tc>
        <w:tc>
          <w:tcPr>
            <w:tcW w:type="dxa" w:w="3685"/>
          </w:tcPr>
          <w:p>
            <w:r>
              <w:rPr>
                <w:b/>
                <w:sz w:val="20"/>
              </w:rPr>
              <w:t>Что нужно для ответа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Состояние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RQ1: есть ли передача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месячные цены всех регионов,</w:t>
            </w:r>
          </w:p>
          <w:p>
            <w:r>
              <w:rPr>
                <w:sz w:val="20"/>
              </w:rPr>
              <w:t>карта соседства, модель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Готово: данные собраны, модель</w:t>
            </w:r>
          </w:p>
          <w:p>
            <w:r>
              <w:rPr>
                <w:sz w:val="20"/>
              </w:rPr>
              <w:t>построена, первые прогоны выполнены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RQ2: за сколько месяцев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та же модель с задержками</w:t>
            </w:r>
          </w:p>
          <w:p>
            <w:r>
              <w:rPr>
                <w:sz w:val="20"/>
              </w:rPr>
              <w:t>от 1 до 6 месяцев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Готово: задержки встроены,</w:t>
            </w:r>
          </w:p>
          <w:p>
            <w:r>
              <w:rPr>
                <w:sz w:val="20"/>
              </w:rPr>
              <w:t>профиль передачи оценивается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RQ3: по каким каналам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шесть карт связей:</w:t>
            </w:r>
          </w:p>
          <w:p>
            <w:r>
              <w:rPr>
                <w:sz w:val="20"/>
              </w:rPr>
              <w:t>граница, расстояние, округ,</w:t>
            </w:r>
          </w:p>
          <w:p>
            <w:r>
              <w:rPr>
                <w:sz w:val="20"/>
              </w:rPr>
              <w:t>ЖД-узлы, ЖД-магистрали, автодороги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Готово: все шесть карт собраны,</w:t>
            </w:r>
          </w:p>
          <w:p>
            <w:r>
              <w:rPr>
                <w:sz w:val="20"/>
              </w:rPr>
              <w:t>сравнение каналов запущено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RQ4: источники и получатели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метод «кто кого ведёт»</w:t>
            </w:r>
          </w:p>
          <w:p>
            <w:r>
              <w:rPr>
                <w:sz w:val="20"/>
              </w:rPr>
              <w:t>и карта результатов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Готово: метод реализован,</w:t>
            </w:r>
          </w:p>
          <w:p>
            <w:r>
              <w:rPr>
                <w:sz w:val="20"/>
              </w:rPr>
              <w:t>черновые карты построены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H3: разница по товарам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цены отдельных товаров,</w:t>
            </w:r>
          </w:p>
          <w:p>
            <w:r>
              <w:rPr>
                <w:sz w:val="20"/>
              </w:rPr>
              <w:t>различия корзин (перепись)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Готово: шесть товаров + перепись,</w:t>
            </w:r>
          </w:p>
          <w:p>
            <w:r>
              <w:rPr>
                <w:sz w:val="20"/>
              </w:rPr>
              <w:t>тест реализован</w:t>
            </w:r>
          </w:p>
        </w:tc>
      </w:tr>
      <w:tr>
        <w:tc>
          <w:tcPr>
            <w:tcW w:type="dxa" w:w="2551"/>
          </w:tcPr>
          <w:p>
            <w:r>
              <w:rPr>
                <w:sz w:val="20"/>
              </w:rPr>
              <w:t>H4: не общий ли это фон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фиксированные эффекты,</w:t>
            </w:r>
          </w:p>
          <w:p>
            <w:r>
              <w:rPr>
                <w:sz w:val="20"/>
              </w:rPr>
              <w:t>проверки на прочность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Готово: встроено в модель,</w:t>
            </w:r>
          </w:p>
          <w:p>
            <w:r>
              <w:rPr>
                <w:sz w:val="20"/>
              </w:rPr>
              <w:t>три вида проверок отработаны</w:t>
            </w:r>
          </w:p>
        </w:tc>
      </w:tr>
    </w:tbl>
    <w:p/>
    <w:p>
      <w:pPr>
        <w:spacing w:after="120"/>
      </w:pPr>
      <w:r>
        <w:rPr>
          <w:b w:val="0"/>
          <w:i w:val="0"/>
        </w:rPr>
        <w:t>Итог: для всех вопросов исследования данные и инструменты готовы, первые расчёты выполнены. Их результаты мы оформим следующим отчётом — здесь сосредоточимся на фундаменте: данных и лаборатории.</w:t>
      </w:r>
    </w:p>
    <w:p>
      <w:r>
        <w:br w:type="page"/>
      </w:r>
    </w:p>
    <w:p>
      <w:pPr>
        <w:pStyle w:val="Heading1"/>
      </w:pPr>
      <w:r>
        <w:t>2. Данные: что собрано и зачем</w:t>
      </w:r>
    </w:p>
    <w:p>
      <w:pPr>
        <w:spacing w:after="120"/>
      </w:pPr>
      <w:r>
        <w:rPr>
          <w:b w:val="0"/>
          <w:i w:val="0"/>
        </w:rPr>
        <w:t>Принцип этого раздела: не перечислять файлы, а показывать, какой вопрос исследования закрывает каждый набор — что было бы невозможно без него и что становится возможным с ним.</w:t>
      </w:r>
    </w:p>
    <w:p>
      <w:pPr>
        <w:pStyle w:val="Heading2"/>
      </w:pPr>
      <w:r>
        <w:t>2.1. Как наводился порядок в регионах</w:t>
      </w:r>
    </w:p>
    <w:p>
      <w:pPr>
        <w:spacing w:after="120"/>
      </w:pPr>
      <w:r>
        <w:rPr>
          <w:b w:val="0"/>
          <w:i w:val="0"/>
        </w:rPr>
        <w:t>В таблицах Росстата вместе с регионами идут строки, которые регионами не являются. Если этого не заметить, расчёты ломаются. Примеры:</w:t>
      </w:r>
    </w:p>
    <w:p>
      <w:pPr>
        <w:pStyle w:val="ListBullet"/>
        <w:spacing w:after="60"/>
      </w:pPr>
      <w:r>
        <w:t>итоговые строки округов — «Центральный федеральный округ»: если оставить, Москва посчитается дважды — сама по себе и в составе округа;</w:t>
      </w:r>
    </w:p>
    <w:p>
      <w:pPr>
        <w:pStyle w:val="ListBullet"/>
        <w:spacing w:after="60"/>
      </w:pPr>
      <w:r>
        <w:t>части регионов — «Архангельская область (кроме Ненецкого АО)»: вместе с полной областью это двойной счёт одной территории;</w:t>
      </w:r>
    </w:p>
    <w:p>
      <w:pPr>
        <w:pStyle w:val="ListBullet"/>
        <w:spacing w:after="60"/>
      </w:pPr>
      <w:r>
        <w:t>упразднённые территории — «Агинский Бурятский округ» вошёл в Забайкальский край ещё в 2008 году, его ряд обрывается;</w:t>
      </w:r>
    </w:p>
    <w:p>
      <w:pPr>
        <w:pStyle w:val="ListBullet"/>
        <w:spacing w:after="60"/>
      </w:pPr>
      <w:r>
        <w:t>разные написания одного и того же — «г. Москва» и «Город Москва столица Российской Федерации…».</w:t>
      </w:r>
    </w:p>
    <w:p>
      <w:pPr>
        <w:spacing w:after="120"/>
      </w:pPr>
      <w:r>
        <w:rPr>
          <w:b w:val="0"/>
          <w:i w:val="0"/>
        </w:rPr>
        <w:t>Мы прошли все 104 строки источника и оставили ровно 85 действующих субъектов, а таблицу соответствий сохранили в проекте. Благодаря ей ВСЕ наборы данных стыкуются между собой по одинаковым названиям — цены Росстата, погода, перепись и карты OpenStreetMap говорят об одних и тех же регионах.</w:t>
      </w:r>
    </w:p>
    <w:p>
      <w:pPr>
        <w:pStyle w:val="Heading2"/>
      </w:pPr>
      <w:r>
        <w:t>2.2. Цены — предмет исследования</w:t>
      </w:r>
    </w:p>
    <w:p>
      <w:pPr>
        <w:spacing w:after="120"/>
      </w:pPr>
      <w:r>
        <w:rPr>
          <w:b w:val="0"/>
          <w:i w:val="0"/>
        </w:rPr>
        <w:t>Источник — Росстат, индексы потребительских цен, изменение к предыдущему месяцу, 2002–2026 годы, все 85 субъектов.</w:t>
      </w:r>
    </w:p>
    <w:p>
      <w:pPr>
        <w:spacing w:after="120"/>
      </w:pPr>
      <w:r>
        <w:rPr>
          <w:b w:val="0"/>
          <w:i w:val="0"/>
        </w:rPr>
        <w:t>Пример, зачем это нужно. В феврале 2022 года продовольствие в приграничной Брянской области подорожало заметно сильнее среднего. Наш вопрос: увидим ли мы отголосок этого в соседней Смоленской области в марте–апреле? Без месячных рядов по каждому региону такой вопрос даже нельзя поставить — годовые данные смазали бы волну, а данные «по России в целом» вообще её не содержат.</w:t>
      </w:r>
    </w:p>
    <w:p>
      <w:pPr>
        <w:spacing w:after="120"/>
      </w:pPr>
      <w:r>
        <w:rPr>
          <w:b w:val="0"/>
          <w:i w:val="0"/>
        </w:rPr>
        <w:t>Что собрано сверх главного ряда и для чего:</w:t>
      </w:r>
    </w:p>
    <w:p>
      <w:pPr>
        <w:pStyle w:val="ListBullet"/>
        <w:spacing w:after="60"/>
      </w:pPr>
      <w:r>
        <w:t>инфляция по товарным группам и отдельным товарам — свинина, говядина, баранина, мясо птицы, алкоголь. Это для гипотезы H3: у товаров разная сезонность, перевозимость и разная корзина покупателей — передача должна отличаться, и мы можем это проверить товар за товаром;</w:t>
      </w:r>
    </w:p>
    <w:p>
      <w:pPr>
        <w:pStyle w:val="ListBullet"/>
        <w:spacing w:after="60"/>
      </w:pPr>
      <w:r>
        <w:t>бензин и дизель — это цена перевозки продуктов: дорожает топливо — дорожает доставка в каждый регион;</w:t>
      </w:r>
    </w:p>
    <w:p>
      <w:pPr>
        <w:pStyle w:val="ListBullet"/>
        <w:spacing w:after="60"/>
      </w:pPr>
      <w:r>
        <w:t>тарифы ЖКХ — издержки магазинов и складов: холодильники работают на электричестве, рост тарифов давит на наценку.</w:t>
      </w:r>
    </w:p>
    <w:p>
      <w:pPr>
        <w:pStyle w:val="Heading2"/>
      </w:pPr>
      <w:r>
        <w:t>2.3. Карты связей — по каким путям идёт волна</w:t>
      </w:r>
    </w:p>
    <w:p>
      <w:pPr>
        <w:spacing w:after="120"/>
      </w:pPr>
      <w:r>
        <w:rPr>
          <w:b w:val="0"/>
          <w:i w:val="0"/>
        </w:rPr>
        <w:t>Это сердце вопроса RQ3. Мы собрали ШЕСТЬ разных карт связей, чтобы столкнуть их между собой: какая лучше объясняет передачу, та и есть главный канал.</w:t>
      </w:r>
    </w:p>
    <w:p>
      <w:pPr>
        <w:pStyle w:val="ListBullet"/>
        <w:spacing w:after="60"/>
      </w:pPr>
      <w:r>
        <w:t>Общая граница. У Московской области восемь соседей, у Сахалина — ноль (остров). Без этой карты мы не знаем, кто чей сосед; с ней считаем входящий импульс каждого региона от его реальных соседей. 190 пар.</w:t>
      </w:r>
    </w:p>
    <w:p>
      <w:pPr>
        <w:pStyle w:val="ListBullet"/>
        <w:spacing w:after="60"/>
      </w:pPr>
      <w:r>
        <w:t>Расстояние. От Краснодара до Ростова-на-Дону 250 км, до Якутска — 5 800. Если дистанция важна, влияние Краснодара на Ростов должно быть в разы сильнее. Эта карта проверяет затухание с расстоянием.</w:t>
      </w:r>
    </w:p>
    <w:p>
      <w:pPr>
        <w:pStyle w:val="ListBullet"/>
        <w:spacing w:after="60"/>
      </w:pPr>
      <w:r>
        <w:t>Федеральный округ. Общее управление, общие торговые сети, общая логистика. Проверяем: административная общность — самостоятельный канал или нет.</w:t>
      </w:r>
    </w:p>
    <w:p>
      <w:pPr>
        <w:pStyle w:val="ListBullet"/>
        <w:spacing w:after="60"/>
      </w:pPr>
      <w:r>
        <w:t>ЖД-узлы: 6 168 станций из OpenStreetMap. Сосед с крупным узлом (Свердловская область — сердце Транссиба) должен «поставлять» шоки сильнее, чем сосед без железной дороги.</w:t>
      </w:r>
    </w:p>
    <w:p>
      <w:pPr>
        <w:pStyle w:val="ListBullet"/>
        <w:spacing w:after="60"/>
      </w:pPr>
      <w:r>
        <w:t>ЖД-магистрали: 128 пар регионов, соединённых прямой магистралью. Контрольный пример: Амурская область и Якутия связаны БАМом — пара есть в карте; а у Магадана железной дороги нет вовсе — и в карте его нет. Если продукты едут по рельсам, эти различия проявятся в ценах.</w:t>
      </w:r>
    </w:p>
    <w:p>
      <w:pPr>
        <w:pStyle w:val="ListBullet"/>
        <w:spacing w:after="60"/>
      </w:pPr>
      <w:r>
        <w:t>Автодороги: 115 пар границ, пересечённых федеральными трассами, с числом полос. Границу Москвы и Московской области пересекают трассы суммарно на 275 полос, а многие границы на востоке страны — ни одной федеральной дорогой. Чем шире «горло», тем сильнее должна быть связь.</w:t>
      </w:r>
    </w:p>
    <w:p>
      <w:pPr>
        <w:spacing w:after="120"/>
      </w:pPr>
      <w:r>
        <w:rPr>
          <w:b w:val="0"/>
          <w:i w:val="0"/>
        </w:rPr>
        <w:t>Без этих карт исследование могло бы сказать только «цены где-то рядом растут вместе». С ними мы отвечаем, ПО ЧЕМУ именно движется волна — по соседству, по километрам, по рельсам или по асфальту.</w:t>
      </w:r>
    </w:p>
    <w:p>
      <w:pPr>
        <w:pStyle w:val="Heading2"/>
      </w:pPr>
      <w:r>
        <w:t>2.4. Характеристики регионов — кто как принимает волну</w:t>
      </w:r>
    </w:p>
    <w:p>
      <w:pPr>
        <w:spacing w:after="120"/>
      </w:pPr>
      <w:r>
        <w:rPr>
          <w:b w:val="0"/>
          <w:i w:val="0"/>
        </w:rPr>
        <w:t>Один и тот же шок соседей в разных регионах даёт разный отклик. Каждый набор этого слоя проверяет одно конкретное объяснение — почему.</w:t>
      </w:r>
    </w:p>
    <w:p>
      <w:pPr>
        <w:pStyle w:val="ListBullet"/>
        <w:spacing w:after="60"/>
      </w:pPr>
      <w:r>
        <w:t>Сельское хозяйство (1991–2024) и производство продуктов (2015–2024). Алтайский край во многом кормит себя сам, Мурманская область почти всё завозит. Без этих данных обе области для нас одинаковы; с ними мы проверяем, как собственная пищевая база меняет реакцию на чужие шоки.</w:t>
      </w:r>
    </w:p>
    <w:p>
      <w:pPr>
        <w:pStyle w:val="ListBullet"/>
        <w:spacing w:after="60"/>
      </w:pPr>
      <w:r>
        <w:t>Возрастной состав (1990–2025). В Тульской области почти каждый третий — старше трудоспособного возраста. Пенсионер покупает те же продукты при любых ценах, спрос негибкий — магазину легче перекладывать рост издержек в цену. Проверяем: в «возрастных» регионах передача сильнее?</w:t>
      </w:r>
    </w:p>
    <w:p>
      <w:pPr>
        <w:pStyle w:val="ListBullet"/>
        <w:spacing w:after="60"/>
      </w:pPr>
      <w:r>
        <w:t>Перепись-2020: национальный состав. В Дагестане около 96% жителей — из групп, в чьей традиционной кухне нет свинины. Если рост цен свинины у соседей НЕ доходит до Дагестана, а рост цен говядины — доходит, значит передача связана с реальными покупками товара, а не просто с общими настроениями. Это редкий способ проверить механизм, и без переписи он невозможен.</w:t>
      </w:r>
    </w:p>
    <w:p>
      <w:pPr>
        <w:pStyle w:val="ListBullet"/>
        <w:spacing w:after="60"/>
      </w:pPr>
      <w:r>
        <w:t>Доходы (1995–2026), зарплаты, безработица (2000–2025). Регион с высокими доходами легче «проглатывает» подорожание — спрос не проседает; бедный регион сокращает покупки. Проверяем связь силы передачи с достатком.</w:t>
      </w:r>
    </w:p>
    <w:p>
      <w:pPr>
        <w:pStyle w:val="ListBullet"/>
        <w:spacing w:after="60"/>
      </w:pPr>
      <w:r>
        <w:t>Туризм: 14 754 отеля и 14 835 ресторанов по регионам. Летний Краснодарский край кормит миллионы приезжих — спрос на еду создают не только жители. Гипотеза: туристические регионы чувствительнее к привозным ценам.</w:t>
      </w:r>
    </w:p>
    <w:p>
      <w:pPr>
        <w:pStyle w:val="ListBullet"/>
        <w:spacing w:after="60"/>
      </w:pPr>
      <w:r>
        <w:t>Курс доллара и евро (2014–2026). Ослаб рубль — дорожают импортные фрукты и кофе. Сам по себе курс общий для всех (и вычитается фиксированными эффектами), но в паре с зависимостью региона от привозного продовольствия он объясняет разницу откликов.</w:t>
      </w:r>
    </w:p>
    <w:p>
      <w:pPr>
        <w:pStyle w:val="Heading2"/>
      </w:pPr>
      <w:r>
        <w:t>2.5. Погода — «чистый эксперимент природы»</w:t>
      </w:r>
    </w:p>
    <w:p>
      <w:pPr>
        <w:spacing w:after="120"/>
      </w:pPr>
      <w:r>
        <w:rPr>
          <w:b w:val="0"/>
          <w:i w:val="0"/>
        </w:rPr>
        <w:t>Из мирового архива NOAA мы взяли 939 российских метеостанций (865 привязали к регионам) и для каждого региона-месяца посчитали отклонение температуры от нормы 1991–2020 годов — именно этого региона и этого месяца года.</w:t>
      </w:r>
    </w:p>
    <w:p>
      <w:pPr>
        <w:spacing w:after="120"/>
      </w:pPr>
      <w:r>
        <w:rPr>
          <w:b w:val="0"/>
          <w:i w:val="0"/>
        </w:rPr>
        <w:t>Зачем. Поздние заморозки в Волгоградской области бьют по овощам: цены сначала растут там, а потом — у соседей. Ключевое свойство: цены не влияют на погоду. Поэтому погодный шок — «чистый» внешний толчок, почти как в лабораторном эксперименте. Без погоды мы не можем отличить настоящую передачу от простого совпадения («у всех одновременно что-то случилось»); с погодой — можем: если волна от заморозков у соседа докатилась до региона, это передача по товарам, и ничто иное.</w:t>
      </w:r>
    </w:p>
    <w:p>
      <w:pPr>
        <w:spacing w:after="120"/>
      </w:pPr>
      <w:r>
        <w:rPr>
          <w:b w:val="0"/>
          <w:i w:val="0"/>
        </w:rPr>
        <w:t>В планах — добавить осадки (архив ERA5): засуха для урожая не менее важна, чем мороз.</w:t>
      </w:r>
    </w:p>
    <w:p>
      <w:r>
        <w:br w:type="page"/>
      </w:r>
    </w:p>
    <w:p>
      <w:pPr>
        <w:pStyle w:val="Heading1"/>
      </w:pPr>
      <w:r>
        <w:t>3. Лаборатория: путь от цифр до вывода</w:t>
      </w:r>
    </w:p>
    <w:p>
      <w:pPr>
        <w:pStyle w:val="Heading2"/>
      </w:pPr>
      <w:r>
        <w:t>3.1. Что это такое</w:t>
      </w:r>
    </w:p>
    <w:p>
      <w:pPr>
        <w:spacing w:after="120"/>
      </w:pPr>
      <w:r>
        <w:rPr>
          <w:b w:val="0"/>
          <w:i w:val="0"/>
        </w:rPr>
        <w:t>Лаборатория — программная среда проекта: два настольных приложения (загрузка данных Росстата с картой и объёмной «волновой» визуализацией; каталог факторов с конструктором индекса) и набор расчётных модулей. Всё, что есть в этом отчёте, — от скачивания цен до карт — выполняется в ней и может быть повторено заново одной командой.</w:t>
      </w:r>
    </w:p>
    <w:p>
      <w:pPr>
        <w:pStyle w:val="Heading2"/>
      </w:pPr>
      <w:r>
        <w:t>3.2. Конвейер исследования</w:t>
      </w:r>
    </w:p>
    <w:p>
      <w:pPr>
        <w:spacing w:after="120"/>
      </w:pPr>
      <w:r>
        <w:rPr>
          <w:b w:val="0"/>
          <w:i w:val="0"/>
        </w:rPr>
        <w:t>Путь данных разбит на 11 шагов. Первые шесть — подготовительные:</w:t>
      </w:r>
    </w:p>
    <w:p>
      <w:pPr>
        <w:pStyle w:val="ListBullet"/>
        <w:spacing w:after="60"/>
      </w:pPr>
      <w:r>
        <w:t>шаги 1–3: собрать данные, привести к виду «регион/месяц/значение», выбрать целевой ряд и превратить ряды в сопоставимые импульсы;</w:t>
      </w:r>
    </w:p>
    <w:p>
      <w:pPr>
        <w:pStyle w:val="ListBullet"/>
        <w:spacing w:after="60"/>
      </w:pPr>
      <w:r>
        <w:t>шаги 4–6: собрать три слоя — тело (ценовые ряды), среду (характеристики регионов) и транспорт (карты связей с входящим импульсом).</w:t>
      </w:r>
    </w:p>
    <w:p>
      <w:pPr>
        <w:spacing w:after="120"/>
      </w:pPr>
      <w:r>
        <w:rPr>
          <w:b w:val="0"/>
          <w:i w:val="0"/>
        </w:rPr>
        <w:t>Дальше начинается собственно анализ — эти шаги распишем подробно.</w:t>
      </w:r>
    </w:p>
    <w:p>
      <w:pPr>
        <w:spacing w:after="160"/>
      </w:pPr>
      <w:r>
        <w:rPr>
          <w:b w:val="0"/>
          <w:i w:val="0"/>
        </w:rPr>
        <w:t>Шаг 7. Задержки. Волна не мгновенна: шок у соседей сегодня отзовётся в регионе через месяц-два. Мы сдвигаем ряды соседей назад на 1, 2, 3 и 6 месяцев и проверяем каждый сдвиг отдельно. Так получается временной профиль передачи: например, «основной эффект — через месяц, к третьему месяцу затухает». Это прямой ответ на вопрос RQ2.</w:t>
      </w:r>
    </w:p>
    <w:p>
      <w:pPr>
        <w:spacing w:after="160"/>
      </w:pPr>
      <w:r>
        <w:rPr>
          <w:b w:val="0"/>
          <w:i w:val="0"/>
        </w:rPr>
        <w:t>Шаг 8. Оценка. Все ряды собираются в одну большую таблицу: 85 регионов на 125 месяцев — около десяти с половиной тысяч наблюдений. Панельная регрессия выдаёт по каждому каналу связи два числа: силу (сколько процентных пунктов роста цен у соседей переходит в регион) и надёжность (можно ли отличить эффект от случайности). Сравнение силы по шести картам связей — ответ на RQ3.</w:t>
      </w:r>
    </w:p>
    <w:p>
      <w:pPr>
        <w:spacing w:after="160"/>
      </w:pPr>
      <w:r>
        <w:rPr>
          <w:b w:val="0"/>
          <w:i w:val="0"/>
        </w:rPr>
        <w:t>Шаг 9. Рецепт. Удачные элементы — какие ряды в теле, какая карта связей, какие задержки и веса — собираются в «рецепт индекса»: обычный редактируемый файл. Рецепт можно править руками и пересчитывать: лаборатория не «чёрный ящик», каждый шаг воспроизводим и объясним.</w:t>
      </w:r>
    </w:p>
    <w:p>
      <w:pPr>
        <w:spacing w:after="160"/>
      </w:pPr>
      <w:r>
        <w:rPr>
          <w:b w:val="0"/>
          <w:i w:val="0"/>
        </w:rPr>
        <w:t>Шаг 10. Проверка на прочность. Три испытания. Первое: делим период на части (спокойные 2015–2019, ковидные 2020–2021, санкционные 2022–2025) и считаем отдельно — вывод не должен держаться на одном отрезке. Второе: «скользящее окно» — считаем в каждом трёхлетнем окне и смотрим, не пропадает ли эффект. Третье и главное: подменяем карту соседства случайной — раздаём регионам выдуманных соседей. На выдуманной карте эффект обязан исчезнуть; если он «живёт» и там, значит мы поймали не передачу, а мусор. Это честный способ самим попытаться разрушить свой результат.</w:t>
      </w:r>
    </w:p>
    <w:p>
      <w:pPr>
        <w:spacing w:after="120"/>
      </w:pPr>
      <w:r>
        <w:rPr>
          <w:b w:val="0"/>
          <w:i w:val="0"/>
        </w:rPr>
        <w:t>Шаг 11. Результат. Итоги собираются в понятные объекты: таблица каналов с силой и надёжностью каждого; карта России с регионами-источниками и регионами-получателями; профиль задержек. Из них складывается текст исследовательской работы.</w:t>
      </w:r>
    </w:p>
    <w:p>
      <w:pPr>
        <w:pStyle w:val="Heading2"/>
      </w:pPr>
      <w:r>
        <w:t>3.3. Расчётные модули</w:t>
      </w:r>
    </w:p>
    <w:p>
      <w:pPr>
        <w:spacing w:after="120"/>
      </w:pPr>
      <w:r>
        <w:rPr>
          <w:b w:val="0"/>
          <w:i w:val="0"/>
        </w:rPr>
        <w:t>Аналитика написана отдельными модулями — по одному на задачу:</w:t>
      </w:r>
    </w:p>
    <w:p>
      <w:pPr>
        <w:pStyle w:val="ListBullet"/>
        <w:spacing w:after="60"/>
      </w:pPr>
      <w:r>
        <w:t>базовая модель распространения — семь вариантов от «без соседей» до каждой из шести карт связей;</w:t>
      </w:r>
    </w:p>
    <w:p>
      <w:pPr>
        <w:pStyle w:val="ListBullet"/>
        <w:spacing w:after="60"/>
      </w:pPr>
      <w:r>
        <w:t>погодная модель — влияние своей погоды и погоды соседей на цены;</w:t>
      </w:r>
    </w:p>
    <w:p>
      <w:pPr>
        <w:pStyle w:val="ListBullet"/>
        <w:spacing w:after="60"/>
      </w:pPr>
      <w:r>
        <w:t>средовые взаимодействия — как характеристики региона меняют силу передачи;</w:t>
      </w:r>
    </w:p>
    <w:p>
      <w:pPr>
        <w:pStyle w:val="ListBullet"/>
        <w:spacing w:after="60"/>
      </w:pPr>
      <w:r>
        <w:t>товарный тест — сравнение передачи по шести товарам с разными корзинами;</w:t>
      </w:r>
    </w:p>
    <w:p>
      <w:pPr>
        <w:pStyle w:val="ListBullet"/>
        <w:spacing w:after="60"/>
      </w:pPr>
      <w:r>
        <w:t>классификация «источники–получатели» и карты к ней;</w:t>
      </w:r>
    </w:p>
    <w:p>
      <w:pPr>
        <w:pStyle w:val="ListBullet"/>
        <w:spacing w:after="60"/>
      </w:pPr>
      <w:r>
        <w:t>блок проверок: подпериоды, скользящие окна, случайные сети.</w:t>
      </w:r>
    </w:p>
    <w:p>
      <w:pPr>
        <w:spacing w:after="120"/>
      </w:pPr>
      <w:r>
        <w:rPr>
          <w:b w:val="0"/>
          <w:i w:val="0"/>
        </w:rPr>
        <w:t>Модули сбора и подготовки данных (загрузчики Росстата, ЕМИСС, погоды, карт OpenStreetMap, переписи) описаны в разделе 2 — они обслуживают данные, а не расчёты.</w:t>
      </w:r>
    </w:p>
    <w:p>
      <w:pPr>
        <w:pStyle w:val="Heading1"/>
      </w:pPr>
      <w:r>
        <w:t>Заключение: движение к цели</w:t>
      </w:r>
    </w:p>
    <w:p>
      <w:pPr>
        <w:spacing w:after="120"/>
      </w:pPr>
      <w:r>
        <w:rPr>
          <w:b w:val="0"/>
          <w:i w:val="0"/>
        </w:rPr>
        <w:t>В начале отчётного периода у проекта была идея и четыре вопроса. Сейчас есть:</w:t>
      </w:r>
    </w:p>
    <w:p>
      <w:pPr>
        <w:pStyle w:val="ListBullet"/>
        <w:spacing w:after="60"/>
      </w:pPr>
      <w:r>
        <w:t>полные месячные цены по всем регионам за 2002–2026 годы, включая товарную детализацию — предмет исследования оцифрован;</w:t>
      </w:r>
    </w:p>
    <w:p>
      <w:pPr>
        <w:pStyle w:val="ListBullet"/>
        <w:spacing w:after="60"/>
      </w:pPr>
      <w:r>
        <w:t>шесть карт связей между регионами — всё, что нужно для ответа о каналах;</w:t>
      </w:r>
    </w:p>
    <w:p>
      <w:pPr>
        <w:pStyle w:val="ListBullet"/>
        <w:spacing w:after="60"/>
      </w:pPr>
      <w:r>
        <w:t>характеристики регионов и погода — объяснения разницы откликов и «чистый эксперимент» для проверки механизма;</w:t>
      </w:r>
    </w:p>
    <w:p>
      <w:pPr>
        <w:pStyle w:val="ListBullet"/>
        <w:spacing w:after="60"/>
      </w:pPr>
      <w:r>
        <w:t>модель с задержками и фиксированными эффектами и три вида проверок на прочность — инструмент ответа готов и отлажен;</w:t>
      </w:r>
    </w:p>
    <w:p>
      <w:pPr>
        <w:pStyle w:val="ListBullet"/>
        <w:spacing w:after="60"/>
      </w:pPr>
      <w:r>
        <w:t>первые прогоны по всем четырём вопросам выполнены.</w:t>
      </w:r>
    </w:p>
    <w:p>
      <w:pPr>
        <w:spacing w:after="120"/>
      </w:pPr>
      <w:r>
        <w:rPr>
          <w:b w:val="0"/>
          <w:i w:val="0"/>
        </w:rPr>
        <w:t>Ближайшие шаги:</w:t>
      </w:r>
    </w:p>
    <w:p>
      <w:pPr>
        <w:pStyle w:val="ListBullet"/>
        <w:spacing w:after="60"/>
      </w:pPr>
      <w:r>
        <w:t>оформить результаты прогонов отдельным отчётом с таблицами и картами;</w:t>
      </w:r>
    </w:p>
    <w:p>
      <w:pPr>
        <w:pStyle w:val="ListBullet"/>
        <w:spacing w:after="60"/>
      </w:pPr>
      <w:r>
        <w:t>добавить осадки в погодный слой;</w:t>
      </w:r>
    </w:p>
    <w:p>
      <w:pPr>
        <w:pStyle w:val="ListBullet"/>
        <w:spacing w:after="60"/>
      </w:pPr>
      <w:r>
        <w:t>начать текст исследовательской работы.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