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Audyt MarTech — Patrizia Aryton</w:t>
      </w:r>
    </w:p>
    <w:p>
      <w:pPr>
        <w:jc w:val="center"/>
      </w:pPr>
      <w:r>
        <w:rPr>
          <w:color w:val="555555"/>
          <w:sz w:val="24"/>
        </w:rPr>
        <w:t>Raport Szczegółowy | Kwiecień 2026</w:t>
      </w:r>
    </w:p>
    <w:p/>
    <w:p>
      <w:pPr>
        <w:spacing w:before="200" w:after="80"/>
      </w:pPr>
      <w:r>
        <w:rPr>
          <w:b/>
          <w:color w:val="1A1A2E"/>
          <w:sz w:val="32"/>
        </w:rPr>
        <w:t>Audyt MarTech — Patrizia Aryton (patrizia.aryton.pl)</w:t>
      </w:r>
    </w:p>
    <w:p>
      <w:pPr>
        <w:spacing w:after="80"/>
      </w:pPr>
      <w:r>
        <w:rPr>
          <w:sz w:val="20"/>
        </w:rPr>
      </w:r>
      <w:r>
        <w:rPr>
          <w:b/>
          <w:sz w:val="20"/>
        </w:rPr>
        <w:t>Data audytu:</w:t>
      </w:r>
      <w:r>
        <w:rPr>
          <w:sz w:val="20"/>
        </w:rPr>
        <w:t>07.04.2026</w:t>
      </w:r>
    </w:p>
    <w:p>
      <w:pPr>
        <w:spacing w:after="80"/>
      </w:pPr>
      <w:r>
        <w:rPr>
          <w:sz w:val="20"/>
        </w:rPr>
      </w:r>
      <w:r>
        <w:rPr>
          <w:b/>
          <w:sz w:val="20"/>
        </w:rPr>
        <w:t>Audytor:</w:t>
      </w:r>
      <w:r>
        <w:rPr>
          <w:sz w:val="20"/>
        </w:rPr>
        <w:t>Adrian Andrzejczyk</w:t>
      </w:r>
    </w:p>
    <w:p>
      <w:pPr>
        <w:spacing w:after="80"/>
      </w:pPr>
      <w:r>
        <w:rPr>
          <w:sz w:val="20"/>
        </w:rPr>
      </w:r>
      <w:r>
        <w:rPr>
          <w:b/>
          <w:sz w:val="20"/>
        </w:rPr>
        <w:t>GA4 Property ID:</w:t>
      </w:r>
      <w:r>
        <w:rPr>
          <w:sz w:val="20"/>
        </w:rPr>
        <w:t>326801658 |</w:t>
      </w:r>
      <w:r>
        <w:rPr>
          <w:b/>
          <w:sz w:val="20"/>
        </w:rPr>
        <w:t>Measurement ID:</w:t>
      </w:r>
      <w:r>
        <w:rPr>
          <w:sz w:val="20"/>
        </w:rPr>
        <w:t>G-93NK3C48R3</w:t>
      </w:r>
    </w:p>
    <w:p>
      <w:pPr>
        <w:spacing w:after="80"/>
      </w:pPr>
      <w:r>
        <w:rPr>
          <w:sz w:val="20"/>
        </w:rPr>
      </w:r>
      <w:r>
        <w:rPr>
          <w:b/>
          <w:sz w:val="20"/>
        </w:rPr>
        <w:t>GTM Container:</w:t>
      </w:r>
      <w:r>
        <w:rPr>
          <w:sz w:val="20"/>
        </w:rPr>
        <w:t>GTM-MDGSP8</w:t>
      </w:r>
    </w:p>
    <w:p>
      <w:pPr>
        <w:spacing w:after="80"/>
      </w:pPr>
      <w:r>
        <w:rPr>
          <w:sz w:val="20"/>
        </w:rPr>
      </w:r>
      <w:r>
        <w:rPr>
          <w:b/>
          <w:sz w:val="20"/>
        </w:rPr>
        <w:t>URL strony:</w:t>
      </w:r>
      <w:r>
        <w:rPr>
          <w:sz w:val="20"/>
        </w:rPr>
        <w:t>https://patrizia.aryton.pl/</w:t>
      </w:r>
    </w:p>
    <w:p>
      <w:pPr>
        <w:spacing w:after="80"/>
      </w:pPr>
      <w:r>
        <w:rPr>
          <w:sz w:val="20"/>
        </w:rPr>
      </w:r>
      <w:r>
        <w:rPr>
          <w:b/>
          <w:sz w:val="20"/>
        </w:rPr>
        <w:t>Typ biznesu:</w:t>
      </w:r>
      <w:r>
        <w:rPr>
          <w:sz w:val="20"/>
        </w:rPr>
        <w:t>E-commerce premium (odzież damska)</w:t>
      </w:r>
    </w:p>
    <w:p>
      <w:pPr>
        <w:spacing w:after="80"/>
      </w:pPr>
      <w:r>
        <w:rPr>
          <w:sz w:val="20"/>
        </w:rPr>
      </w:r>
      <w:r>
        <w:rPr>
          <w:b/>
          <w:sz w:val="20"/>
        </w:rPr>
        <w:t>Platforma:</w:t>
      </w:r>
      <w:r>
        <w:rPr>
          <w:sz w:val="20"/>
        </w:rPr>
        <w:t>PrestaShop</w:t>
      </w:r>
    </w:p>
    <w:p>
      <w:pPr>
        <w:spacing w:after="80"/>
      </w:pPr>
      <w:r>
        <w:rPr>
          <w:sz w:val="20"/>
        </w:rPr>
      </w:r>
      <w:r>
        <w:rPr>
          <w:b/>
          <w:sz w:val="20"/>
        </w:rPr>
        <w:t>Okres analizy danych:</w:t>
      </w:r>
      <w:r>
        <w:rPr>
          <w:sz w:val="20"/>
        </w:rPr>
        <w:t>08.03.2026 – 07.04.2026 (30 dni)</w:t>
      </w:r>
    </w:p>
    <w:p>
      <w:pPr>
        <w:spacing w:after="80"/>
      </w:pPr>
      <w:r>
        <w:rPr>
          <w:sz w:val="20"/>
        </w:rPr>
      </w:r>
      <w:r>
        <w:rPr>
          <w:b/>
          <w:sz w:val="20"/>
        </w:rPr>
        <w:t>Poprzedni audyt:</w:t>
      </w:r>
      <w:r>
        <w:rPr>
          <w:sz w:val="20"/>
        </w:rPr>
        <w:t>03.04.2026 — wynik: 62/138 pkt (45%) ❌ Krytyczny</w:t>
      </w:r>
    </w:p>
    <w:p>
      <w:pPr>
        <w:spacing w:after="80"/>
      </w:pPr>
    </w:p>
    <w:p>
      <w:pPr>
        <w:spacing w:before="200" w:after="80"/>
      </w:pPr>
      <w:r>
        <w:rPr>
          <w:b/>
          <w:color w:val="16213E"/>
          <w:sz w:val="26"/>
        </w:rPr>
        <w:t>CZĘŚĆ I — PODSUMOWANIE WYKONAWCZE</w:t>
      </w:r>
    </w:p>
    <w:p>
      <w:pPr>
        <w:spacing w:before="120" w:after="80"/>
      </w:pPr>
      <w:r>
        <w:rPr>
          <w:b/>
          <w:color w:val="0F3D66"/>
          <w:sz w:val="22"/>
        </w:rPr>
        <w:t>Wyniki sekcji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Sekcja</w:t>
            </w:r>
          </w:p>
        </w:tc>
        <w:tc>
          <w:tcPr>
            <w:tcW w:type="dxa" w:w="1881"/>
            <w:shd w:val="clear" w:color="auto" w:fill="1a1a2e"/>
          </w:tcPr>
          <w:p>
            <w:pPr>
              <w:spacing w:before="40" w:after="40"/>
            </w:pPr>
            <w:r>
              <w:rPr>
                <w:b/>
                <w:color w:val="FFFFFF"/>
                <w:sz w:val="17"/>
              </w:rPr>
              <w:t>Uzyskane</w:t>
            </w:r>
          </w:p>
        </w:tc>
        <w:tc>
          <w:tcPr>
            <w:tcW w:type="dxa" w:w="1881"/>
            <w:shd w:val="clear" w:color="auto" w:fill="1a1a2e"/>
          </w:tcPr>
          <w:p>
            <w:pPr>
              <w:spacing w:before="40" w:after="40"/>
            </w:pPr>
            <w:r>
              <w:rPr>
                <w:b/>
                <w:color w:val="FFFFFF"/>
                <w:sz w:val="17"/>
              </w:rPr>
              <w:t>Max (dostępne)</w:t>
            </w:r>
          </w:p>
        </w:tc>
        <w:tc>
          <w:tcPr>
            <w:tcW w:type="dxa" w:w="1881"/>
            <w:shd w:val="clear" w:color="auto" w:fill="1a1a2e"/>
          </w:tcPr>
          <w:p>
            <w:pPr>
              <w:spacing w:before="40" w:after="40"/>
            </w:pPr>
            <w:r>
              <w:rPr>
                <w:b/>
                <w:color w:val="FFFFFF"/>
                <w:sz w:val="17"/>
              </w:rPr>
              <w:t>Wynik %</w:t>
            </w:r>
          </w:p>
        </w:tc>
        <w:tc>
          <w:tcPr>
            <w:tcW w:type="dxa" w:w="1881"/>
            <w:shd w:val="clear" w:color="auto" w:fill="1a1a2e"/>
          </w:tcPr>
          <w:p>
            <w:pPr>
              <w:spacing w:before="40" w:after="40"/>
            </w:pPr>
            <w:r>
              <w:rPr>
                <w:b/>
                <w:color w:val="FFFFFF"/>
                <w:sz w:val="17"/>
              </w:rPr>
              <w:t>Ocena</w:t>
            </w:r>
          </w:p>
        </w:tc>
      </w:tr>
      <w:tr>
        <w:tc>
          <w:tcPr>
            <w:tcW w:type="dxa" w:w="1881"/>
          </w:tcPr>
          <w:p>
            <w:pPr>
              <w:spacing w:before="40" w:after="40"/>
            </w:pPr>
            <w:r>
              <w:rPr>
                <w:sz w:val="17"/>
              </w:rPr>
              <w:t>1. Audyt Wstępny</w:t>
            </w:r>
          </w:p>
        </w:tc>
        <w:tc>
          <w:tcPr>
            <w:tcW w:type="dxa" w:w="1881"/>
          </w:tcPr>
          <w:p>
            <w:pPr>
              <w:spacing w:before="40" w:after="40"/>
            </w:pPr>
            <w:r>
              <w:rPr>
                <w:sz w:val="17"/>
              </w:rPr>
              <w:t>11</w:t>
            </w:r>
          </w:p>
        </w:tc>
        <w:tc>
          <w:tcPr>
            <w:tcW w:type="dxa" w:w="1881"/>
          </w:tcPr>
          <w:p>
            <w:pPr>
              <w:spacing w:before="40" w:after="40"/>
            </w:pPr>
            <w:r>
              <w:rPr>
                <w:sz w:val="17"/>
              </w:rPr>
              <w:t>27</w:t>
            </w:r>
          </w:p>
        </w:tc>
        <w:tc>
          <w:tcPr>
            <w:tcW w:type="dxa" w:w="1881"/>
          </w:tcPr>
          <w:p>
            <w:pPr>
              <w:spacing w:before="40" w:after="40"/>
            </w:pPr>
            <w:r>
              <w:rPr>
                <w:sz w:val="17"/>
              </w:rPr>
              <w:t>41%</w:t>
            </w:r>
          </w:p>
        </w:tc>
        <w:tc>
          <w:tcPr>
            <w:tcW w:type="dxa" w:w="1881"/>
          </w:tcPr>
          <w:p>
            <w:pPr>
              <w:spacing w:before="40" w:after="40"/>
            </w:pPr>
            <w:r>
              <w:rPr>
                <w:sz w:val="17"/>
              </w:rPr>
              <w:t>❌ Krytyczny</w:t>
            </w:r>
          </w:p>
        </w:tc>
      </w:tr>
      <w:tr>
        <w:tc>
          <w:tcPr>
            <w:tcW w:type="dxa" w:w="1881"/>
          </w:tcPr>
          <w:p>
            <w:pPr>
              <w:spacing w:before="40" w:after="40"/>
            </w:pPr>
            <w:r>
              <w:rPr>
                <w:sz w:val="17"/>
              </w:rPr>
              <w:t>2. ePrivacy / Consent Mode</w:t>
            </w:r>
          </w:p>
        </w:tc>
        <w:tc>
          <w:tcPr>
            <w:tcW w:type="dxa" w:w="1881"/>
          </w:tcPr>
          <w:p>
            <w:pPr>
              <w:spacing w:before="40" w:after="40"/>
            </w:pPr>
            <w:r>
              <w:rPr>
                <w:sz w:val="17"/>
              </w:rPr>
              <w:t>18</w:t>
            </w:r>
          </w:p>
        </w:tc>
        <w:tc>
          <w:tcPr>
            <w:tcW w:type="dxa" w:w="1881"/>
          </w:tcPr>
          <w:p>
            <w:pPr>
              <w:spacing w:before="40" w:after="40"/>
            </w:pPr>
            <w:r>
              <w:rPr>
                <w:sz w:val="17"/>
              </w:rPr>
              <w:t>45</w:t>
            </w:r>
          </w:p>
        </w:tc>
        <w:tc>
          <w:tcPr>
            <w:tcW w:type="dxa" w:w="1881"/>
          </w:tcPr>
          <w:p>
            <w:pPr>
              <w:spacing w:before="40" w:after="40"/>
            </w:pPr>
            <w:r>
              <w:rPr>
                <w:sz w:val="17"/>
              </w:rPr>
              <w:t>40%</w:t>
            </w:r>
          </w:p>
        </w:tc>
        <w:tc>
          <w:tcPr>
            <w:tcW w:type="dxa" w:w="1881"/>
          </w:tcPr>
          <w:p>
            <w:pPr>
              <w:spacing w:before="40" w:after="40"/>
            </w:pPr>
            <w:r>
              <w:rPr>
                <w:sz w:val="17"/>
              </w:rPr>
              <w:t>❌ Krytyczny</w:t>
            </w:r>
          </w:p>
        </w:tc>
      </w:tr>
      <w:tr>
        <w:tc>
          <w:tcPr>
            <w:tcW w:type="dxa" w:w="1881"/>
          </w:tcPr>
          <w:p>
            <w:pPr>
              <w:spacing w:before="40" w:after="40"/>
            </w:pPr>
            <w:r>
              <w:rPr>
                <w:sz w:val="17"/>
              </w:rPr>
              <w:t>3. Konfiguracja GA4 + GTM</w:t>
            </w:r>
          </w:p>
        </w:tc>
        <w:tc>
          <w:tcPr>
            <w:tcW w:type="dxa" w:w="1881"/>
          </w:tcPr>
          <w:p>
            <w:pPr>
              <w:spacing w:before="40" w:after="40"/>
            </w:pPr>
            <w:r>
              <w:rPr>
                <w:sz w:val="17"/>
              </w:rPr>
              <w:t>17</w:t>
            </w:r>
          </w:p>
        </w:tc>
        <w:tc>
          <w:tcPr>
            <w:tcW w:type="dxa" w:w="1881"/>
          </w:tcPr>
          <w:p>
            <w:pPr>
              <w:spacing w:before="40" w:after="40"/>
            </w:pPr>
            <w:r>
              <w:rPr>
                <w:sz w:val="17"/>
              </w:rPr>
              <w:t>54</w:t>
            </w:r>
          </w:p>
        </w:tc>
        <w:tc>
          <w:tcPr>
            <w:tcW w:type="dxa" w:w="1881"/>
          </w:tcPr>
          <w:p>
            <w:pPr>
              <w:spacing w:before="40" w:after="40"/>
            </w:pPr>
            <w:r>
              <w:rPr>
                <w:sz w:val="17"/>
              </w:rPr>
              <w:t>31%</w:t>
            </w:r>
          </w:p>
        </w:tc>
        <w:tc>
          <w:tcPr>
            <w:tcW w:type="dxa" w:w="1881"/>
          </w:tcPr>
          <w:p>
            <w:pPr>
              <w:spacing w:before="40" w:after="40"/>
            </w:pPr>
            <w:r>
              <w:rPr>
                <w:sz w:val="17"/>
              </w:rPr>
              <w:t>❌ Krytyczny</w:t>
            </w:r>
          </w:p>
        </w:tc>
      </w:tr>
      <w:tr>
        <w:tc>
          <w:tcPr>
            <w:tcW w:type="dxa" w:w="1881"/>
          </w:tcPr>
          <w:p>
            <w:pPr>
              <w:spacing w:before="40" w:after="40"/>
            </w:pPr>
            <w:r>
              <w:rPr>
                <w:sz w:val="17"/>
              </w:rPr>
              <w:t>4. Data Quality</w:t>
            </w:r>
          </w:p>
        </w:tc>
        <w:tc>
          <w:tcPr>
            <w:tcW w:type="dxa" w:w="1881"/>
          </w:tcPr>
          <w:p>
            <w:pPr>
              <w:spacing w:before="40" w:after="40"/>
            </w:pPr>
            <w:r>
              <w:rPr>
                <w:sz w:val="17"/>
              </w:rPr>
              <w:t>40</w:t>
            </w:r>
          </w:p>
        </w:tc>
        <w:tc>
          <w:tcPr>
            <w:tcW w:type="dxa" w:w="1881"/>
          </w:tcPr>
          <w:p>
            <w:pPr>
              <w:spacing w:before="40" w:after="40"/>
            </w:pPr>
            <w:r>
              <w:rPr>
                <w:sz w:val="17"/>
              </w:rPr>
              <w:t>75</w:t>
            </w:r>
          </w:p>
        </w:tc>
        <w:tc>
          <w:tcPr>
            <w:tcW w:type="dxa" w:w="1881"/>
          </w:tcPr>
          <w:p>
            <w:pPr>
              <w:spacing w:before="40" w:after="40"/>
            </w:pPr>
            <w:r>
              <w:rPr>
                <w:sz w:val="17"/>
              </w:rPr>
              <w:t>53%</w:t>
            </w:r>
          </w:p>
        </w:tc>
        <w:tc>
          <w:tcPr>
            <w:tcW w:type="dxa" w:w="1881"/>
          </w:tcPr>
          <w:p>
            <w:pPr>
              <w:spacing w:before="40" w:after="40"/>
            </w:pPr>
            <w:r>
              <w:rPr>
                <w:sz w:val="17"/>
              </w:rPr>
              <w:t>⚠️ Wymaga poprawy</w:t>
            </w:r>
          </w:p>
        </w:tc>
      </w:tr>
      <w:tr>
        <w:tc>
          <w:tcPr>
            <w:tcW w:type="dxa" w:w="1881"/>
          </w:tcPr>
          <w:p>
            <w:pPr>
              <w:spacing w:before="40" w:after="40"/>
            </w:pPr>
            <w:r>
              <w:rPr>
                <w:sz w:val="17"/>
              </w:rPr>
              <w:t>5. UTM</w:t>
            </w:r>
          </w:p>
        </w:tc>
        <w:tc>
          <w:tcPr>
            <w:tcW w:type="dxa" w:w="1881"/>
          </w:tcPr>
          <w:p>
            <w:pPr>
              <w:spacing w:before="40" w:after="40"/>
            </w:pPr>
            <w:r>
              <w:rPr>
                <w:sz w:val="17"/>
              </w:rPr>
              <w:t>13</w:t>
            </w:r>
          </w:p>
        </w:tc>
        <w:tc>
          <w:tcPr>
            <w:tcW w:type="dxa" w:w="1881"/>
          </w:tcPr>
          <w:p>
            <w:pPr>
              <w:spacing w:before="40" w:after="40"/>
            </w:pPr>
            <w:r>
              <w:rPr>
                <w:sz w:val="17"/>
              </w:rPr>
              <w:t>18</w:t>
            </w:r>
          </w:p>
        </w:tc>
        <w:tc>
          <w:tcPr>
            <w:tcW w:type="dxa" w:w="1881"/>
          </w:tcPr>
          <w:p>
            <w:pPr>
              <w:spacing w:before="40" w:after="40"/>
            </w:pPr>
            <w:r>
              <w:rPr>
                <w:sz w:val="17"/>
              </w:rPr>
              <w:t>72%</w:t>
            </w:r>
          </w:p>
        </w:tc>
        <w:tc>
          <w:tcPr>
            <w:tcW w:type="dxa" w:w="1881"/>
          </w:tcPr>
          <w:p>
            <w:pPr>
              <w:spacing w:before="40" w:after="40"/>
            </w:pPr>
            <w:r>
              <w:rPr>
                <w:sz w:val="17"/>
              </w:rPr>
              <w:t>⚠️ Wymaga poprawy</w:t>
            </w:r>
          </w:p>
        </w:tc>
      </w:tr>
      <w:tr>
        <w:tc>
          <w:tcPr>
            <w:tcW w:type="dxa" w:w="1881"/>
          </w:tcPr>
          <w:p>
            <w:pPr>
              <w:spacing w:before="40" w:after="40"/>
            </w:pPr>
            <w:r>
              <w:rPr>
                <w:sz w:val="17"/>
              </w:rPr>
              <w:t>6. BCG</w:t>
            </w:r>
          </w:p>
        </w:tc>
        <w:tc>
          <w:tcPr>
            <w:tcW w:type="dxa" w:w="1881"/>
          </w:tcPr>
          <w:p>
            <w:pPr>
              <w:spacing w:before="40" w:after="40"/>
            </w:pPr>
            <w:r>
              <w:rPr>
                <w:sz w:val="17"/>
              </w:rPr>
              <w:t>—</w:t>
            </w:r>
          </w:p>
        </w:tc>
        <w:tc>
          <w:tcPr>
            <w:tcW w:type="dxa" w:w="1881"/>
          </w:tcPr>
          <w:p>
            <w:pPr>
              <w:spacing w:before="40" w:after="40"/>
            </w:pPr>
            <w:r>
              <w:rPr>
                <w:sz w:val="17"/>
              </w:rPr>
              <w:t>—</w:t>
            </w:r>
          </w:p>
        </w:tc>
        <w:tc>
          <w:tcPr>
            <w:tcW w:type="dxa" w:w="1881"/>
          </w:tcPr>
          <w:p>
            <w:pPr>
              <w:spacing w:before="40" w:after="40"/>
            </w:pPr>
            <w:r>
              <w:rPr>
                <w:sz w:val="17"/>
              </w:rPr>
              <w:t>🔒 Brak dostępu</w:t>
            </w:r>
          </w:p>
        </w:tc>
        <w:tc>
          <w:tcPr>
            <w:tcW w:type="dxa" w:w="1881"/>
          </w:tcPr>
          <w:p>
            <w:pPr>
              <w:spacing w:before="40" w:after="40"/>
            </w:pPr>
            <w:r>
              <w:rPr>
                <w:sz w:val="17"/>
              </w:rPr>
              <w:t>—</w:t>
            </w:r>
          </w:p>
        </w:tc>
      </w:tr>
      <w:tr>
        <w:tc>
          <w:tcPr>
            <w:tcW w:type="dxa" w:w="1881"/>
          </w:tcPr>
          <w:p>
            <w:pPr>
              <w:spacing w:before="40" w:after="40"/>
            </w:pPr>
            <w:r>
              <w:rPr>
                <w:sz w:val="17"/>
              </w:rPr>
              <w:t>7. Lejki</w:t>
            </w:r>
          </w:p>
        </w:tc>
        <w:tc>
          <w:tcPr>
            <w:tcW w:type="dxa" w:w="1881"/>
          </w:tcPr>
          <w:p>
            <w:pPr>
              <w:spacing w:before="40" w:after="40"/>
            </w:pPr>
            <w:r>
              <w:rPr>
                <w:sz w:val="17"/>
              </w:rPr>
              <w:t>3</w:t>
            </w:r>
          </w:p>
        </w:tc>
        <w:tc>
          <w:tcPr>
            <w:tcW w:type="dxa" w:w="1881"/>
          </w:tcPr>
          <w:p>
            <w:pPr>
              <w:spacing w:before="40" w:after="40"/>
            </w:pPr>
            <w:r>
              <w:rPr>
                <w:sz w:val="17"/>
              </w:rPr>
              <w:t>8</w:t>
            </w:r>
          </w:p>
        </w:tc>
        <w:tc>
          <w:tcPr>
            <w:tcW w:type="dxa" w:w="1881"/>
          </w:tcPr>
          <w:p>
            <w:pPr>
              <w:spacing w:before="40" w:after="40"/>
            </w:pPr>
            <w:r>
              <w:rPr>
                <w:sz w:val="17"/>
              </w:rPr>
              <w:t>38%</w:t>
            </w:r>
          </w:p>
        </w:tc>
        <w:tc>
          <w:tcPr>
            <w:tcW w:type="dxa" w:w="1881"/>
          </w:tcPr>
          <w:p>
            <w:pPr>
              <w:spacing w:before="40" w:after="40"/>
            </w:pPr>
            <w:r>
              <w:rPr>
                <w:sz w:val="17"/>
              </w:rPr>
              <w:t>❌ Krytyczny</w:t>
            </w:r>
          </w:p>
        </w:tc>
      </w:tr>
      <w:tr>
        <w:tc>
          <w:tcPr>
            <w:tcW w:type="dxa" w:w="1881"/>
          </w:tcPr>
          <w:p>
            <w:pPr>
              <w:spacing w:before="40" w:after="40"/>
            </w:pPr>
            <w:r>
              <w:rPr>
                <w:sz w:val="17"/>
              </w:rPr>
              <w:t>8. GA4↔Ads</w:t>
            </w:r>
          </w:p>
        </w:tc>
        <w:tc>
          <w:tcPr>
            <w:tcW w:type="dxa" w:w="1881"/>
          </w:tcPr>
          <w:p>
            <w:pPr>
              <w:spacing w:before="40" w:after="40"/>
            </w:pPr>
            <w:r>
              <w:rPr>
                <w:sz w:val="17"/>
              </w:rPr>
              <w:t>—</w:t>
            </w:r>
          </w:p>
        </w:tc>
        <w:tc>
          <w:tcPr>
            <w:tcW w:type="dxa" w:w="1881"/>
          </w:tcPr>
          <w:p>
            <w:pPr>
              <w:spacing w:before="40" w:after="40"/>
            </w:pPr>
            <w:r>
              <w:rPr>
                <w:sz w:val="17"/>
              </w:rPr>
              <w:t>—</w:t>
            </w:r>
          </w:p>
        </w:tc>
        <w:tc>
          <w:tcPr>
            <w:tcW w:type="dxa" w:w="1881"/>
          </w:tcPr>
          <w:p>
            <w:pPr>
              <w:spacing w:before="40" w:after="40"/>
            </w:pPr>
            <w:r>
              <w:rPr>
                <w:sz w:val="17"/>
              </w:rPr>
              <w:t>🔒 Brak dostępu</w:t>
            </w:r>
          </w:p>
        </w:tc>
        <w:tc>
          <w:tcPr>
            <w:tcW w:type="dxa" w:w="1881"/>
          </w:tcPr>
          <w:p>
            <w:pPr>
              <w:spacing w:before="40" w:after="40"/>
            </w:pPr>
            <w:r>
              <w:rPr>
                <w:sz w:val="17"/>
              </w:rPr>
              <w:t>—</w:t>
            </w:r>
          </w:p>
        </w:tc>
      </w:tr>
      <w:tr>
        <w:tc>
          <w:tcPr>
            <w:tcW w:type="dxa" w:w="1881"/>
          </w:tcPr>
          <w:p>
            <w:pPr>
              <w:spacing w:before="40" w:after="40"/>
            </w:pPr>
            <w:r>
              <w:rPr>
                <w:sz w:val="17"/>
              </w:rPr>
              <w:t>9. Analiza</w:t>
            </w:r>
          </w:p>
        </w:tc>
        <w:tc>
          <w:tcPr>
            <w:tcW w:type="dxa" w:w="1881"/>
          </w:tcPr>
          <w:p>
            <w:pPr>
              <w:spacing w:before="40" w:after="40"/>
            </w:pPr>
            <w:r>
              <w:rPr>
                <w:sz w:val="17"/>
              </w:rPr>
              <w:t>—</w:t>
            </w:r>
          </w:p>
        </w:tc>
        <w:tc>
          <w:tcPr>
            <w:tcW w:type="dxa" w:w="1881"/>
          </w:tcPr>
          <w:p>
            <w:pPr>
              <w:spacing w:before="40" w:after="40"/>
            </w:pPr>
            <w:r>
              <w:rPr>
                <w:sz w:val="17"/>
              </w:rPr>
              <w:t>—</w:t>
            </w:r>
          </w:p>
        </w:tc>
        <w:tc>
          <w:tcPr>
            <w:tcW w:type="dxa" w:w="1881"/>
          </w:tcPr>
          <w:p>
            <w:pPr>
              <w:spacing w:before="40" w:after="40"/>
            </w:pPr>
            <w:r>
              <w:rPr>
                <w:sz w:val="17"/>
              </w:rPr>
              <w:t>⚠️ Ograniczone</w:t>
            </w:r>
          </w:p>
        </w:tc>
        <w:tc>
          <w:tcPr>
            <w:tcW w:type="dxa" w:w="1881"/>
          </w:tcPr>
          <w:p>
            <w:pPr>
              <w:spacing w:before="40" w:after="40"/>
            </w:pPr>
            <w:r>
              <w:rPr>
                <w:sz w:val="17"/>
              </w:rPr>
              <w:t>—</w:t>
            </w:r>
          </w:p>
        </w:tc>
      </w:tr>
      <w:tr>
        <w:tc>
          <w:tcPr>
            <w:tcW w:type="dxa" w:w="1881"/>
          </w:tcPr>
          <w:p>
            <w:pPr>
              <w:spacing w:before="40" w:after="40"/>
            </w:pPr>
            <w:r>
              <w:rPr>
                <w:sz w:val="17"/>
              </w:rPr>
              <w:t>10. Google Ads</w:t>
            </w:r>
          </w:p>
        </w:tc>
        <w:tc>
          <w:tcPr>
            <w:tcW w:type="dxa" w:w="1881"/>
          </w:tcPr>
          <w:p>
            <w:pPr>
              <w:spacing w:before="40" w:after="40"/>
            </w:pPr>
            <w:r>
              <w:rPr>
                <w:sz w:val="17"/>
              </w:rPr>
              <w:t>—</w:t>
            </w:r>
          </w:p>
        </w:tc>
        <w:tc>
          <w:tcPr>
            <w:tcW w:type="dxa" w:w="1881"/>
          </w:tcPr>
          <w:p>
            <w:pPr>
              <w:spacing w:before="40" w:after="40"/>
            </w:pPr>
            <w:r>
              <w:rPr>
                <w:sz w:val="17"/>
              </w:rPr>
              <w:t>—</w:t>
            </w:r>
          </w:p>
        </w:tc>
        <w:tc>
          <w:tcPr>
            <w:tcW w:type="dxa" w:w="1881"/>
          </w:tcPr>
          <w:p>
            <w:pPr>
              <w:spacing w:before="40" w:after="40"/>
            </w:pPr>
            <w:r>
              <w:rPr>
                <w:sz w:val="17"/>
              </w:rPr>
              <w:t>🔒 Brak dostępu</w:t>
            </w:r>
          </w:p>
        </w:tc>
        <w:tc>
          <w:tcPr>
            <w:tcW w:type="dxa" w:w="1881"/>
          </w:tcPr>
          <w:p>
            <w:pPr>
              <w:spacing w:before="40" w:after="40"/>
            </w:pPr>
            <w:r>
              <w:rPr>
                <w:sz w:val="17"/>
              </w:rPr>
              <w:t>—</w:t>
            </w:r>
          </w:p>
        </w:tc>
      </w:tr>
      <w:tr>
        <w:tc>
          <w:tcPr>
            <w:tcW w:type="dxa" w:w="1881"/>
          </w:tcPr>
          <w:p>
            <w:pPr>
              <w:spacing w:before="40" w:after="40"/>
            </w:pPr>
            <w:r>
              <w:rPr>
                <w:sz w:val="17"/>
              </w:rPr>
              <w:t>ŁĄCZNIE</w:t>
            </w:r>
          </w:p>
        </w:tc>
        <w:tc>
          <w:tcPr>
            <w:tcW w:type="dxa" w:w="1881"/>
          </w:tcPr>
          <w:p>
            <w:pPr>
              <w:spacing w:before="40" w:after="40"/>
            </w:pPr>
            <w:r>
              <w:rPr>
                <w:sz w:val="17"/>
              </w:rPr>
              <w:t>102</w:t>
            </w:r>
          </w:p>
        </w:tc>
        <w:tc>
          <w:tcPr>
            <w:tcW w:type="dxa" w:w="1881"/>
          </w:tcPr>
          <w:p>
            <w:pPr>
              <w:spacing w:before="40" w:after="40"/>
            </w:pPr>
            <w:r>
              <w:rPr>
                <w:sz w:val="17"/>
              </w:rPr>
              <w:t>227</w:t>
            </w:r>
          </w:p>
        </w:tc>
        <w:tc>
          <w:tcPr>
            <w:tcW w:type="dxa" w:w="1881"/>
          </w:tcPr>
          <w:p>
            <w:pPr>
              <w:spacing w:before="40" w:after="40"/>
            </w:pPr>
            <w:r>
              <w:rPr>
                <w:sz w:val="17"/>
              </w:rPr>
              <w:t>45%</w:t>
            </w:r>
          </w:p>
        </w:tc>
        <w:tc>
          <w:tcPr>
            <w:tcW w:type="dxa" w:w="1881"/>
          </w:tcPr>
          <w:p>
            <w:pPr>
              <w:spacing w:before="40" w:after="40"/>
            </w:pPr>
            <w:r>
              <w:rPr>
                <w:sz w:val="17"/>
              </w:rPr>
              <w:t>❌ Krytyczny</w:t>
            </w:r>
          </w:p>
        </w:tc>
      </w:tr>
    </w:tbl>
    <w:p/>
    <w:p>
      <w:pPr>
        <w:spacing w:before="120" w:after="80"/>
      </w:pPr>
      <w:r>
        <w:rPr>
          <w:b/>
          <w:color w:val="0F3D66"/>
          <w:sz w:val="22"/>
        </w:rPr>
        <w:t>CZY DANYM MOŻNA UFAĆ?</w:t>
      </w:r>
    </w:p>
    <w:p>
      <w:pPr>
        <w:spacing w:after="80"/>
      </w:pPr>
      <w:r>
        <w:rPr>
          <w:sz w:val="20"/>
        </w:rPr>
      </w:r>
      <w:r>
        <w:rPr>
          <w:b/>
          <w:sz w:val="20"/>
        </w:rPr>
        <w:t>Nie — dane e-commerce są systemowo zaburzone i wymagają natychmiastowej naprawy.</w:t>
      </w:r>
      <w:r>
        <w:rPr>
          <w:sz w:val="20"/>
        </w:rPr>
      </w:r>
    </w:p>
    <w:p>
      <w:pPr>
        <w:spacing w:after="80"/>
      </w:pPr>
      <w:r>
        <w:rPr>
          <w:sz w:val="20"/>
        </w:rPr>
        <w:t>Wykryto trzy nakładające się na siebie problemy krytyczne, które łącznie uniemożliwiają wiarygodną analizę wyników sprzedaży:</w:t>
      </w:r>
    </w:p>
    <w:p>
      <w:pPr>
        <w:spacing w:after="80"/>
      </w:pPr>
      <w:r>
        <w:rPr>
          <w:sz w:val="20"/>
        </w:rPr>
      </w:r>
      <w:r>
        <w:rPr>
          <w:b/>
          <w:sz w:val="20"/>
        </w:rPr>
        <w:t>1. Duplikacja zdarzenia purchase (ratio 3.83x)</w:t>
      </w:r>
      <w:r>
        <w:rPr>
          <w:sz w:val="20"/>
        </w:rPr>
        <w:t>— hardcoded tag GA4 w kodzie HTML PrestaShop PLUS tag GA4 przez GTM powoduje, że każde zdarzenie purchase jest wysyłane do GA4 wielokrotnie. Ratio ecommercePurchases:transactions = 3.83x (wykryty w audycie 03.04 jako 3.53x — problem nie naprawiony, a ratio wzrosło).</w:t>
      </w:r>
    </w:p>
    <w:p>
      <w:pPr>
        <w:spacing w:after="80"/>
      </w:pPr>
      <w:r>
        <w:rPr>
          <w:sz w:val="20"/>
        </w:rPr>
      </w:r>
      <w:r>
        <w:rPr>
          <w:b/>
          <w:sz w:val="20"/>
        </w:rPr>
        <w:t>2. 72.4% malformed transaction IDs</w:t>
      </w:r>
      <w:r>
        <w:rPr>
          <w:sz w:val="20"/>
        </w:rPr>
        <w:t>— PrestaShop przekazuje do systemu śledzenia URL strony potwierdzenia zamówienia (np. 210032&amp;key=1abe2783...) zamiast samego numeru zamówienia. W efekcie 1 088 z 1 503 unikalnych transakcji jest nieidentyfikowalnych i nieanalizowalnych w GA4.</w:t>
      </w:r>
    </w:p>
    <w:p>
      <w:pPr>
        <w:spacing w:after="80"/>
      </w:pPr>
      <w:r>
        <w:rPr>
          <w:sz w:val="20"/>
        </w:rPr>
      </w:r>
      <w:r>
        <w:rPr>
          <w:b/>
          <w:sz w:val="20"/>
        </w:rPr>
        <w:t>3. Dane produktowe całkowicie zepsute</w:t>
      </w:r>
      <w:r>
        <w:rPr>
          <w:sz w:val="20"/>
        </w:rPr>
        <w:t>— itemsPurchased = 0 i itemRevenue = 0 dla wszystkich 2 691 produktów w bazie przez 30 dni. Niemożliwa jakakolwiek analiza produktowa.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Obszar</w:t>
            </w:r>
          </w:p>
        </w:tc>
        <w:tc>
          <w:tcPr>
            <w:tcW w:type="dxa" w:w="3135"/>
            <w:shd w:val="clear" w:color="auto" w:fill="1a1a2e"/>
          </w:tcPr>
          <w:p>
            <w:pPr>
              <w:spacing w:before="40" w:after="40"/>
            </w:pPr>
            <w:r>
              <w:rPr>
                <w:b/>
                <w:color w:val="FFFFFF"/>
                <w:sz w:val="17"/>
              </w:rPr>
              <w:t>Wiarygodność</w:t>
            </w:r>
          </w:p>
        </w:tc>
        <w:tc>
          <w:tcPr>
            <w:tcW w:type="dxa" w:w="3135"/>
            <w:shd w:val="clear" w:color="auto" w:fill="1a1a2e"/>
          </w:tcPr>
          <w:p>
            <w:pPr>
              <w:spacing w:before="40" w:after="40"/>
            </w:pPr>
            <w:r>
              <w:rPr>
                <w:b/>
                <w:color w:val="FFFFFF"/>
                <w:sz w:val="17"/>
              </w:rPr>
              <w:t>Uzasadnienie</w:t>
            </w:r>
          </w:p>
        </w:tc>
      </w:tr>
      <w:tr>
        <w:tc>
          <w:tcPr>
            <w:tcW w:type="dxa" w:w="3135"/>
          </w:tcPr>
          <w:p>
            <w:pPr>
              <w:spacing w:before="40" w:after="40"/>
            </w:pPr>
            <w:r>
              <w:rPr>
                <w:sz w:val="17"/>
              </w:rPr>
              <w:t>Sesje i ruch</w:t>
            </w:r>
          </w:p>
        </w:tc>
        <w:tc>
          <w:tcPr>
            <w:tcW w:type="dxa" w:w="3135"/>
          </w:tcPr>
          <w:p>
            <w:pPr>
              <w:spacing w:before="40" w:after="40"/>
            </w:pPr>
            <w:r>
              <w:rPr>
                <w:sz w:val="17"/>
              </w:rPr>
              <w:t>✅ Wiarygodne</w:t>
            </w:r>
          </w:p>
        </w:tc>
        <w:tc>
          <w:tcPr>
            <w:tcW w:type="dxa" w:w="3135"/>
          </w:tcPr>
          <w:p>
            <w:pPr>
              <w:spacing w:before="40" w:after="40"/>
            </w:pPr>
            <w:r>
              <w:rPr>
                <w:sz w:val="17"/>
              </w:rPr>
              <w:t>Niezależne od duplikacji purchase</w:t>
            </w:r>
          </w:p>
        </w:tc>
      </w:tr>
      <w:tr>
        <w:tc>
          <w:tcPr>
            <w:tcW w:type="dxa" w:w="3135"/>
          </w:tcPr>
          <w:p>
            <w:pPr>
              <w:spacing w:before="40" w:after="40"/>
            </w:pPr>
            <w:r>
              <w:rPr>
                <w:sz w:val="17"/>
              </w:rPr>
              <w:t>Kanały pozyskania</w:t>
            </w:r>
          </w:p>
        </w:tc>
        <w:tc>
          <w:tcPr>
            <w:tcW w:type="dxa" w:w="3135"/>
          </w:tcPr>
          <w:p>
            <w:pPr>
              <w:spacing w:before="40" w:after="40"/>
            </w:pPr>
            <w:r>
              <w:rPr>
                <w:sz w:val="17"/>
              </w:rPr>
              <w:t>⚠️ Częściowo</w:t>
            </w:r>
          </w:p>
        </w:tc>
        <w:tc>
          <w:tcPr>
            <w:tcW w:type="dxa" w:w="3135"/>
          </w:tcPr>
          <w:p>
            <w:pPr>
              <w:spacing w:before="40" w:after="40"/>
            </w:pPr>
            <w:r>
              <w:rPr>
                <w:sz w:val="17"/>
              </w:rPr>
              <w:t>Fragmentacja Meta, webmaile w referral</w:t>
            </w:r>
          </w:p>
        </w:tc>
      </w:tr>
      <w:tr>
        <w:tc>
          <w:tcPr>
            <w:tcW w:type="dxa" w:w="3135"/>
          </w:tcPr>
          <w:p>
            <w:pPr>
              <w:spacing w:before="40" w:after="40"/>
            </w:pPr>
            <w:r>
              <w:rPr>
                <w:sz w:val="17"/>
              </w:rPr>
              <w:t>Liczba transakcji (transactions)</w:t>
            </w:r>
          </w:p>
        </w:tc>
        <w:tc>
          <w:tcPr>
            <w:tcW w:type="dxa" w:w="3135"/>
          </w:tcPr>
          <w:p>
            <w:pPr>
              <w:spacing w:before="40" w:after="40"/>
            </w:pPr>
            <w:r>
              <w:rPr>
                <w:sz w:val="17"/>
              </w:rPr>
              <w:t>⚠️ Zaniżone</w:t>
            </w:r>
          </w:p>
        </w:tc>
        <w:tc>
          <w:tcPr>
            <w:tcW w:type="dxa" w:w="3135"/>
          </w:tcPr>
          <w:p>
            <w:pPr>
              <w:spacing w:before="40" w:after="40"/>
            </w:pPr>
            <w:r>
              <w:rPr>
                <w:sz w:val="17"/>
              </w:rPr>
              <w:t>72.4% malformed ID = niepoliczalne</w:t>
            </w:r>
          </w:p>
        </w:tc>
      </w:tr>
      <w:tr>
        <w:tc>
          <w:tcPr>
            <w:tcW w:type="dxa" w:w="3135"/>
          </w:tcPr>
          <w:p>
            <w:pPr>
              <w:spacing w:before="40" w:after="40"/>
            </w:pPr>
            <w:r>
              <w:rPr>
                <w:sz w:val="17"/>
              </w:rPr>
              <w:t>Przychód (purchaseRevenue)</w:t>
            </w:r>
          </w:p>
        </w:tc>
        <w:tc>
          <w:tcPr>
            <w:tcW w:type="dxa" w:w="3135"/>
          </w:tcPr>
          <w:p>
            <w:pPr>
              <w:spacing w:before="40" w:after="40"/>
            </w:pPr>
            <w:r>
              <w:rPr>
                <w:sz w:val="17"/>
              </w:rPr>
              <w:t>⚠️ Zaniżone</w:t>
            </w:r>
          </w:p>
        </w:tc>
        <w:tc>
          <w:tcPr>
            <w:tcW w:type="dxa" w:w="3135"/>
          </w:tcPr>
          <w:p>
            <w:pPr>
              <w:spacing w:before="40" w:after="40"/>
            </w:pPr>
            <w:r>
              <w:rPr>
                <w:sz w:val="17"/>
              </w:rPr>
              <w:t>Część bez ID → revenue = 0</w:t>
            </w:r>
          </w:p>
        </w:tc>
      </w:tr>
      <w:tr>
        <w:tc>
          <w:tcPr>
            <w:tcW w:type="dxa" w:w="3135"/>
          </w:tcPr>
          <w:p>
            <w:pPr>
              <w:spacing w:before="40" w:after="40"/>
            </w:pPr>
            <w:r>
              <w:rPr>
                <w:sz w:val="17"/>
              </w:rPr>
              <w:t>Liczba eventów purchase</w:t>
            </w:r>
          </w:p>
        </w:tc>
        <w:tc>
          <w:tcPr>
            <w:tcW w:type="dxa" w:w="3135"/>
          </w:tcPr>
          <w:p>
            <w:pPr>
              <w:spacing w:before="40" w:after="40"/>
            </w:pPr>
            <w:r>
              <w:rPr>
                <w:sz w:val="17"/>
              </w:rPr>
              <w:t>❌ Zawyżone 3.83x</w:t>
            </w:r>
          </w:p>
        </w:tc>
        <w:tc>
          <w:tcPr>
            <w:tcW w:type="dxa" w:w="3135"/>
          </w:tcPr>
          <w:p>
            <w:pPr>
              <w:spacing w:before="40" w:after="40"/>
            </w:pPr>
            <w:r>
              <w:rPr>
                <w:sz w:val="17"/>
              </w:rPr>
              <w:t>Duplikacja</w:t>
            </w:r>
          </w:p>
        </w:tc>
      </w:tr>
      <w:tr>
        <w:tc>
          <w:tcPr>
            <w:tcW w:type="dxa" w:w="3135"/>
          </w:tcPr>
          <w:p>
            <w:pPr>
              <w:spacing w:before="40" w:after="40"/>
            </w:pPr>
            <w:r>
              <w:rPr>
                <w:sz w:val="17"/>
              </w:rPr>
              <w:t>Lejek e-commerce</w:t>
            </w:r>
          </w:p>
        </w:tc>
        <w:tc>
          <w:tcPr>
            <w:tcW w:type="dxa" w:w="3135"/>
          </w:tcPr>
          <w:p>
            <w:pPr>
              <w:spacing w:before="40" w:after="40"/>
            </w:pPr>
            <w:r>
              <w:rPr>
                <w:sz w:val="17"/>
              </w:rPr>
              <w:t>❌ Zepsuty</w:t>
            </w:r>
          </w:p>
        </w:tc>
        <w:tc>
          <w:tcPr>
            <w:tcW w:type="dxa" w:w="3135"/>
          </w:tcPr>
          <w:p>
            <w:pPr>
              <w:spacing w:before="40" w:after="40"/>
            </w:pPr>
            <w:r>
              <w:rPr>
                <w:sz w:val="17"/>
              </w:rPr>
              <w:t>purchase &gt; begin_checkout</w:t>
            </w:r>
          </w:p>
        </w:tc>
      </w:tr>
      <w:tr>
        <w:tc>
          <w:tcPr>
            <w:tcW w:type="dxa" w:w="3135"/>
          </w:tcPr>
          <w:p>
            <w:pPr>
              <w:spacing w:before="40" w:after="40"/>
            </w:pPr>
            <w:r>
              <w:rPr>
                <w:sz w:val="17"/>
              </w:rPr>
              <w:t>Dane produktowe</w:t>
            </w:r>
          </w:p>
        </w:tc>
        <w:tc>
          <w:tcPr>
            <w:tcW w:type="dxa" w:w="3135"/>
          </w:tcPr>
          <w:p>
            <w:pPr>
              <w:spacing w:before="40" w:after="40"/>
            </w:pPr>
            <w:r>
              <w:rPr>
                <w:sz w:val="17"/>
              </w:rPr>
              <w:t>❌ Całkowicie zepsute</w:t>
            </w:r>
          </w:p>
        </w:tc>
        <w:tc>
          <w:tcPr>
            <w:tcW w:type="dxa" w:w="3135"/>
          </w:tcPr>
          <w:p>
            <w:pPr>
              <w:spacing w:before="40" w:after="40"/>
            </w:pPr>
            <w:r>
              <w:rPr>
                <w:sz w:val="17"/>
              </w:rPr>
              <w:t>0 purchased dla wszystkich produktów</w:t>
            </w:r>
          </w:p>
        </w:tc>
      </w:tr>
    </w:tbl>
    <w:p/>
    <w:p>
      <w:pPr>
        <w:spacing w:after="80"/>
      </w:pPr>
    </w:p>
    <w:p>
      <w:pPr>
        <w:spacing w:before="200" w:after="80"/>
      </w:pPr>
      <w:r>
        <w:rPr>
          <w:b/>
          <w:color w:val="16213E"/>
          <w:sz w:val="26"/>
        </w:rPr>
        <w:t>CZĘŚĆ II — WYNIKI AUDYTU PER SEKCJA</w:t>
      </w:r>
    </w:p>
    <w:p>
      <w:pPr>
        <w:spacing w:after="80"/>
      </w:pPr>
    </w:p>
    <w:p>
      <w:pPr>
        <w:spacing w:before="120" w:after="80"/>
      </w:pPr>
      <w:r>
        <w:rPr>
          <w:b/>
          <w:color w:val="0F3D66"/>
          <w:sz w:val="22"/>
        </w:rPr>
        <w:t>SEKCJA 1 — Audyt Wstępny (11/27 pkt = 41% ❌)</w:t>
      </w:r>
    </w:p>
    <w:p>
      <w:pPr>
        <w:spacing w:before="120" w:after="80"/>
      </w:pPr>
      <w:r>
        <w:rPr>
          <w:b/>
          <w:color w:val="206080"/>
          <w:sz w:val="20"/>
        </w:rPr>
        <w:t>Co sprawdzamy i dlaczego</w:t>
      </w:r>
    </w:p>
    <w:p>
      <w:pPr>
        <w:spacing w:after="80"/>
      </w:pPr>
      <w:r>
        <w:rPr>
          <w:sz w:val="20"/>
        </w:rPr>
        <w:t>Sekcja 1 to przegląd podstaw infrastruktury śledzenia: jakie narzędzia marketingowe są zainstalowane na stronie, czy działają poprawnie, czy nie ma konfliktów technicznych i czy konfiguracja odpowiada dobrym praktykom. To odpowiednik przeglądu technicznego samochodu przed sezonem — identyfikujemy co jest sprawne, co wymaga regulacji i co jest zepsute.</w:t>
      </w:r>
    </w:p>
    <w:p>
      <w:pPr>
        <w:spacing w:before="120" w:after="80"/>
      </w:pPr>
      <w:r>
        <w:rPr>
          <w:b/>
          <w:color w:val="206080"/>
          <w:sz w:val="20"/>
        </w:rPr>
        <w:t>Kluczowe ustalenia</w:t>
      </w:r>
    </w:p>
    <w:p>
      <w:pPr>
        <w:spacing w:after="80"/>
      </w:pPr>
      <w:r>
        <w:rPr>
          <w:sz w:val="20"/>
        </w:rPr>
      </w:r>
      <w:r>
        <w:rPr>
          <w:b/>
          <w:sz w:val="20"/>
        </w:rPr>
        <w:t>Duplikacja GA4 — bezpośrednia przyczyna ratio 3.83x</w:t>
      </w:r>
      <w:r>
        <w:rPr>
          <w:sz w:val="20"/>
        </w:rPr>
      </w:r>
    </w:p>
    <w:p>
      <w:pPr>
        <w:spacing w:after="80"/>
      </w:pPr>
      <w:r>
        <w:rPr>
          <w:sz w:val="20"/>
        </w:rPr>
        <w:t>Na stronie patrizia.aryton.pl GA4 jest wdrożone na dwa różne sposoby jednocześnie:</w:t>
      </w:r>
    </w:p>
    <w:p>
      <w:pPr>
        <w:pStyle w:val="ListBullet"/>
        <w:spacing w:after="40"/>
        <w:ind w:left="283"/>
      </w:pPr>
      <w:r>
        <w:rPr>
          <w:sz w:val="20"/>
        </w:rPr>
        <w:t>Bezpośrednio w kodzie HTML PrestaShop: gtag('config', 'G-93NK3C48R3', {'send_page_view': true})</w:t>
      </w:r>
    </w:p>
    <w:p>
      <w:pPr>
        <w:pStyle w:val="ListBullet"/>
        <w:spacing w:after="40"/>
        <w:ind w:left="283"/>
      </w:pPr>
      <w:r>
        <w:rPr>
          <w:sz w:val="20"/>
        </w:rPr>
        <w:t>Przez kontener Google Tag Manager (GTM-MDGSP8)</w:t>
      </w:r>
    </w:p>
    <w:p>
      <w:pPr>
        <w:spacing w:after="80"/>
      </w:pPr>
      <w:r>
        <w:rPr>
          <w:sz w:val="20"/>
        </w:rPr>
        <w:t>To jak posiadanie dwóch kasjerów rejestrujących tę samą sprzedaż — każda transakcja pojawia się w systemie dwa lub więcej razy. W efekcie zdarzenie purchase odpala się 3.83 razy per unikalną transakcję. Wszystkie raporty e-commerce w GA4 pokazują fałszywe wartości.</w:t>
      </w:r>
    </w:p>
    <w:p>
      <w:pPr>
        <w:spacing w:after="80"/>
      </w:pPr>
      <w:r>
        <w:rPr>
          <w:sz w:val="20"/>
        </w:rPr>
      </w:r>
      <w:r>
        <w:rPr>
          <w:b/>
          <w:sz w:val="20"/>
        </w:rPr>
        <w:t>Brak bannera zgody cookie — naruszenie RODO</w:t>
      </w:r>
      <w:r>
        <w:rPr>
          <w:sz w:val="20"/>
        </w:rPr>
      </w:r>
    </w:p>
    <w:p>
      <w:pPr>
        <w:spacing w:after="80"/>
      </w:pPr>
      <w:r>
        <w:rPr>
          <w:sz w:val="20"/>
        </w:rPr>
        <w:t>W kodzie HTML strony nie ma widocznego bannera CMP (Cookie Management Platform). Wprawdzie Consent Mode v2 jest technicznie skonfigurowany (wszystkie kategorie domyślnie "odmówione"), ale bez bannera użytkownik nie może ani wyrazić, ani odmówić zgody. Efekt: system nigdy nie przechodzi w tryb "zgoda udzielona" → GA4 zbiera wyłącznie zamodelowane dane anonimowe. Moduł psgdpr (PrestaShop GDPR) jest zainstalowany, ale banner nie wyświetla się.</w:t>
      </w:r>
    </w:p>
    <w:p>
      <w:pPr>
        <w:spacing w:after="80"/>
      </w:pPr>
      <w:r>
        <w:rPr>
          <w:sz w:val="20"/>
        </w:rPr>
      </w:r>
      <w:r>
        <w:rPr>
          <w:b/>
          <w:sz w:val="20"/>
        </w:rPr>
        <w:t>Struktura danych e-commerce (DataLayer) — zepsuta tablica produktów</w:t>
      </w:r>
      <w:r>
        <w:rPr>
          <w:sz w:val="20"/>
        </w:rPr>
      </w:r>
    </w:p>
    <w:p>
      <w:pPr>
        <w:spacing w:after="80"/>
      </w:pPr>
      <w:r>
        <w:rPr>
          <w:sz w:val="20"/>
        </w:rPr>
        <w:t>Dla 30 dni audytu: itemsPurchased = 0 i itemRevenue = 0 dla wszystkich 2 691 produktów w bazie GA4. Tablica items[] w zdarzeniu purchase jest prawdopodobnie pusta lub w ogóle nie wysyłana. Może to wynikać z konfliktu między hardcoded gtag('event', 'purchase') (który nie zawiera danych produktowych) a wersją przez GTM.</w:t>
      </w:r>
    </w:p>
    <w:p>
      <w:pPr>
        <w:spacing w:after="80"/>
      </w:pPr>
      <w:r>
        <w:rPr>
          <w:sz w:val="20"/>
        </w:rPr>
      </w:r>
      <w:r>
        <w:rPr>
          <w:b/>
          <w:sz w:val="20"/>
        </w:rPr>
        <w:t>Co działa dobrze:</w:t>
      </w:r>
      <w:r>
        <w:rPr>
          <w:sz w:val="20"/>
        </w:rPr>
      </w:r>
    </w:p>
    <w:p>
      <w:pPr>
        <w:pStyle w:val="ListBullet"/>
        <w:spacing w:after="40"/>
        <w:ind w:left="283"/>
      </w:pPr>
      <w:r>
        <w:rPr>
          <w:sz w:val="20"/>
        </w:rPr>
        <w:t>Jeden kontener GTM (GTM-MDGSP8) — bez duplikacji GTM ✅</w:t>
      </w:r>
    </w:p>
    <w:p>
      <w:pPr>
        <w:pStyle w:val="ListBullet"/>
        <w:spacing w:after="40"/>
        <w:ind w:left="283"/>
      </w:pPr>
      <w:r>
        <w:rPr>
          <w:sz w:val="20"/>
        </w:rPr>
        <w:t>Brak Universal Analytics (UA) — czysty stack GA4 ✅</w:t>
      </w:r>
    </w:p>
    <w:p>
      <w:pPr>
        <w:pStyle w:val="ListBullet"/>
        <w:spacing w:after="40"/>
        <w:ind w:left="283"/>
      </w:pPr>
      <w:r>
        <w:rPr>
          <w:sz w:val="20"/>
        </w:rPr>
        <w:t>Meta Pixel 268133950519975 aktywny + CAPI (server-side tracking) ✅</w:t>
      </w:r>
    </w:p>
    <w:p>
      <w:pPr>
        <w:pStyle w:val="ListBullet"/>
        <w:spacing w:after="40"/>
        <w:ind w:left="283"/>
      </w:pPr>
      <w:r>
        <w:rPr>
          <w:sz w:val="20"/>
        </w:rPr>
        <w:t>Google Ads conversion tag AW-769585117 aktywny ✅</w:t>
      </w:r>
    </w:p>
    <w:p>
      <w:pPr>
        <w:pStyle w:val="ListBullet"/>
        <w:spacing w:after="40"/>
        <w:ind w:left="283"/>
      </w:pPr>
      <w:r>
        <w:rPr>
          <w:sz w:val="20"/>
        </w:rPr>
        <w:t>Google Ads + Meta = kompletna infrastruktura reklamowa ✅</w:t>
      </w:r>
    </w:p>
    <w:p>
      <w:pPr>
        <w:spacing w:after="80"/>
      </w:pPr>
    </w:p>
    <w:p>
      <w:pPr>
        <w:spacing w:before="120" w:after="80"/>
      </w:pPr>
      <w:r>
        <w:rPr>
          <w:b/>
          <w:color w:val="0F3D66"/>
          <w:sz w:val="22"/>
        </w:rPr>
        <w:t>SEKCJA 2 — ePrivacy / Consent Mode (18/45 pkt = 40% ❌)</w:t>
      </w:r>
    </w:p>
    <w:p>
      <w:pPr>
        <w:spacing w:before="120" w:after="80"/>
      </w:pPr>
      <w:r>
        <w:rPr>
          <w:b/>
          <w:color w:val="206080"/>
          <w:sz w:val="20"/>
        </w:rPr>
        <w:t>Co sprawdzamy i dlaczego</w:t>
      </w:r>
    </w:p>
    <w:p>
      <w:pPr>
        <w:spacing w:after="80"/>
      </w:pPr>
      <w:r>
        <w:rPr>
          <w:sz w:val="20"/>
        </w:rPr>
        <w:t>ePrivacy to obszar zgodności z prawem unijnym — RODO i ePrivacy Directive. Chodzi o to czy strona respektuje prawo użytkownika do decydowania o tym, jakie dane o nim zbieramy. Consent Mode v2 to techniczny mechanizm Google, który pozwala "rozmawiać" systemowi śledzenia z decyzją użytkownika wyrażoną przez baner cookie. Bez prawidłowej implementacji firma naraża się na kary UODO (do 4% rocznego obrotu lub 20 mln EUR) i traci wiarygodne dane analityczne.</w:t>
      </w:r>
    </w:p>
    <w:p>
      <w:pPr>
        <w:spacing w:before="120" w:after="80"/>
      </w:pPr>
      <w:r>
        <w:rPr>
          <w:b/>
          <w:color w:val="206080"/>
          <w:sz w:val="20"/>
        </w:rPr>
        <w:t>Kluczowe ustalenia</w:t>
      </w:r>
    </w:p>
    <w:p>
      <w:pPr>
        <w:spacing w:after="80"/>
      </w:pPr>
      <w:r>
        <w:rPr>
          <w:sz w:val="20"/>
        </w:rPr>
      </w:r>
      <w:r>
        <w:rPr>
          <w:b/>
          <w:sz w:val="20"/>
        </w:rPr>
        <w:t>Consent Mode v2 — implementacja techniczna poprawna, praktyczna zepsuta</w:t>
      </w:r>
      <w:r>
        <w:rPr>
          <w:sz w:val="20"/>
        </w:rPr>
      </w:r>
    </w:p>
    <w:p>
      <w:pPr>
        <w:spacing w:after="80"/>
      </w:pPr>
      <w:r>
        <w:rPr>
          <w:sz w:val="20"/>
        </w:rPr>
        <w:t>Technicznie Consent Mode v2 jest wdrożony wzorowo. W kodzie HTML jako PIERWSZY element pojawia się:</w:t>
      </w:r>
    </w:p>
    <w:p>
      <w:pPr>
        <w:ind w:left="567"/>
      </w:pPr>
      <w:r>
        <w:rPr>
          <w:rFonts w:ascii="Courier New" w:hAnsi="Courier New"/>
          <w:sz w:val="16"/>
        </w:rPr>
        <w:t>gtag('consent', 'default', {</w:t>
      </w:r>
    </w:p>
    <w:p>
      <w:pPr>
        <w:ind w:left="567"/>
      </w:pPr>
      <w:r>
        <w:rPr>
          <w:rFonts w:ascii="Courier New" w:hAnsi="Courier New"/>
          <w:sz w:val="16"/>
        </w:rPr>
        <w:t xml:space="preserve">  'ad_storage': 'denied',</w:t>
      </w:r>
    </w:p>
    <w:p>
      <w:pPr>
        <w:ind w:left="567"/>
      </w:pPr>
      <w:r>
        <w:rPr>
          <w:rFonts w:ascii="Courier New" w:hAnsi="Courier New"/>
          <w:sz w:val="16"/>
        </w:rPr>
        <w:t xml:space="preserve">  'analytics_storage': 'denied',</w:t>
      </w:r>
    </w:p>
    <w:p>
      <w:pPr>
        <w:ind w:left="567"/>
      </w:pPr>
      <w:r>
        <w:rPr>
          <w:rFonts w:ascii="Courier New" w:hAnsi="Courier New"/>
          <w:sz w:val="16"/>
        </w:rPr>
        <w:t xml:space="preserve">  'ad_user_data': 'denied',</w:t>
      </w:r>
    </w:p>
    <w:p>
      <w:pPr>
        <w:ind w:left="567"/>
      </w:pPr>
      <w:r>
        <w:rPr>
          <w:rFonts w:ascii="Courier New" w:hAnsi="Courier New"/>
          <w:sz w:val="16"/>
        </w:rPr>
        <w:t xml:space="preserve">  'ad_personalization': 'denied',</w:t>
      </w:r>
    </w:p>
    <w:p>
      <w:pPr>
        <w:ind w:left="567"/>
      </w:pPr>
      <w:r>
        <w:rPr>
          <w:rFonts w:ascii="Courier New" w:hAnsi="Courier New"/>
          <w:sz w:val="16"/>
        </w:rPr>
        <w:t xml:space="preserve">  'wait_for_update': 500</w:t>
      </w:r>
    </w:p>
    <w:p>
      <w:pPr>
        <w:ind w:left="567"/>
      </w:pPr>
      <w:r>
        <w:rPr>
          <w:rFonts w:ascii="Courier New" w:hAnsi="Courier New"/>
          <w:sz w:val="16"/>
        </w:rPr>
        <w:t>})</w:t>
      </w:r>
    </w:p>
    <w:p>
      <w:pPr>
        <w:spacing w:after="80"/>
      </w:pPr>
      <w:r>
        <w:rPr>
          <w:sz w:val="20"/>
        </w:rPr>
        <w:t>To jest dokładnie taka kolejność i zawartość jaką rekomenduje Google. Wszystkie 4 kategorie zgód Consent Mode v2 są obecne.</w:t>
      </w:r>
    </w:p>
    <w:p>
      <w:pPr>
        <w:spacing w:after="80"/>
      </w:pPr>
      <w:r>
        <w:rPr>
          <w:sz w:val="20"/>
        </w:rPr>
      </w:r>
      <w:r>
        <w:rPr>
          <w:b/>
          <w:sz w:val="20"/>
        </w:rPr>
        <w:t>Problem: brak bannera = system nigdy nie przechodzi w tryb "granted"</w:t>
      </w:r>
      <w:r>
        <w:rPr>
          <w:sz w:val="20"/>
        </w:rPr>
      </w:r>
    </w:p>
    <w:p>
      <w:pPr>
        <w:spacing w:after="80"/>
      </w:pPr>
      <w:r>
        <w:rPr>
          <w:sz w:val="20"/>
        </w:rPr>
        <w:t>Bez wizualnego bannera użytkownik nie ma możliwości kliknięcia "Akceptuj" lub "Odmów". W efekcie analytics_storage pozostaje denied dla 100% użytkowników na zawsze. GA4 zbiera wyłącznie zamodelowane dane anonimowe — widoczne w GA4 jako 2 302 sesje oznaczone "(data not available)".</w:t>
      </w:r>
    </w:p>
    <w:p>
      <w:pPr>
        <w:spacing w:after="80"/>
      </w:pPr>
      <w:r>
        <w:rPr>
          <w:sz w:val="20"/>
        </w:rPr>
        <w:t>Moduł psgdpr (PrestaShop GDPR) jest zainstalowany w kodzie, ale banner nie renderuje się. Możliwe przyczyny: błąd konfiguracji modułu, konflikt z innym pluginem, wyłączony rendering bannera przez ustawienia sklepu.</w:t>
      </w:r>
    </w:p>
    <w:p>
      <w:pPr>
        <w:spacing w:after="80"/>
      </w:pPr>
      <w:r>
        <w:rPr>
          <w:sz w:val="20"/>
        </w:rPr>
      </w:r>
      <w:r>
        <w:rPr>
          <w:b/>
          <w:sz w:val="20"/>
        </w:rPr>
        <w:t>Brak url_passthrough — zaniżanie ROAS kampanii</w:t>
      </w:r>
      <w:r>
        <w:rPr>
          <w:sz w:val="20"/>
        </w:rPr>
      </w:r>
    </w:p>
    <w:p>
      <w:pPr>
        <w:spacing w:after="80"/>
      </w:pPr>
      <w:r>
        <w:rPr>
          <w:sz w:val="20"/>
        </w:rPr>
        <w:t>Bez włączonego url_passthrough: true użytkownicy, którzy odmówili zgody (czyli 100% przy braku bannera), nie przekazują parametrów kampanii przez URL do GA4. Oznacza to że cały ruch kampanii reklamowych jest zaniżony o zasięg użytkowników bez cookies. Przy skali kampanii Google Ads (132 384 sesji CPC) to istotne zaniżenie mierzalnego ROAS.</w:t>
      </w:r>
    </w:p>
    <w:p>
      <w:pPr>
        <w:spacing w:after="80"/>
      </w:pPr>
      <w:r>
        <w:rPr>
          <w:sz w:val="20"/>
        </w:rPr>
      </w:r>
      <w:r>
        <w:rPr>
          <w:b/>
          <w:sz w:val="20"/>
        </w:rPr>
        <w:t>Co działa:</w:t>
      </w:r>
      <w:r>
        <w:rPr>
          <w:sz w:val="20"/>
        </w:rPr>
      </w:r>
    </w:p>
    <w:p>
      <w:pPr>
        <w:pStyle w:val="ListBullet"/>
        <w:spacing w:after="40"/>
        <w:ind w:left="283"/>
      </w:pPr>
      <w:r>
        <w:rPr>
          <w:sz w:val="20"/>
        </w:rPr>
        <w:t>Consent Mode v2 z 4 kategoriami zgód: domyślnie denied ✅</w:t>
      </w:r>
    </w:p>
    <w:p>
      <w:pPr>
        <w:pStyle w:val="ListBullet"/>
        <w:spacing w:after="40"/>
        <w:ind w:left="283"/>
      </w:pPr>
      <w:r>
        <w:rPr>
          <w:sz w:val="20"/>
        </w:rPr>
        <w:t>Prawidłowa kolejność inicjalizacji w HTML (consent przed GTM) ✅</w:t>
      </w:r>
    </w:p>
    <w:p>
      <w:pPr>
        <w:pStyle w:val="ListBullet"/>
        <w:spacing w:after="40"/>
        <w:ind w:left="283"/>
      </w:pPr>
      <w:r>
        <w:rPr>
          <w:sz w:val="20"/>
        </w:rPr>
        <w:t>Brak danych osobowych w URL-ach, UTM-ach i zdarzeniach ✅</w:t>
      </w:r>
    </w:p>
    <w:p>
      <w:pPr>
        <w:pStyle w:val="ListBullet"/>
        <w:spacing w:after="40"/>
        <w:ind w:left="283"/>
      </w:pPr>
      <w:r>
        <w:rPr>
          <w:sz w:val="20"/>
        </w:rPr>
        <w:t>Anonimowe "pingi" GA4 po odmowie (modelowanie) działa ✅</w:t>
      </w:r>
    </w:p>
    <w:p>
      <w:pPr>
        <w:spacing w:after="80"/>
      </w:pPr>
    </w:p>
    <w:p>
      <w:pPr>
        <w:spacing w:before="120" w:after="80"/>
      </w:pPr>
      <w:r>
        <w:rPr>
          <w:b/>
          <w:color w:val="0F3D66"/>
          <w:sz w:val="22"/>
        </w:rPr>
        <w:t>SEKCJA 3 — Konfiguracja GTM i GA4 (17/54 pkt = 31% ❌)</w:t>
      </w:r>
    </w:p>
    <w:p>
      <w:pPr>
        <w:spacing w:before="120" w:after="80"/>
      </w:pPr>
      <w:r>
        <w:rPr>
          <w:b/>
          <w:color w:val="206080"/>
          <w:sz w:val="20"/>
        </w:rPr>
        <w:t>Co sprawdzamy i dlaczego</w:t>
      </w:r>
    </w:p>
    <w:p>
      <w:pPr>
        <w:spacing w:after="80"/>
      </w:pPr>
      <w:r>
        <w:rPr>
          <w:sz w:val="20"/>
        </w:rPr>
        <w:t>Konfiguracja GTM i GA4 to fundament całego systemu śledzenia. Nawet jeśli dane zbieramy i banery mamy poprawne, błędna konfiguracja może sprawić że dane trafiają do niewłaściwych miejsc, są zaburzone przez wewnętrzny ruch firmowy, lub że sesje z różnych źródeł są nieprawidłowo atrybowane. To jak sprawdzenie czy wszystkie rury w instalacji wodnej są prawidłowo podłączone — zatkana rura w jednym miejscu może zaburzyć przepływ w całym systemie.</w:t>
      </w:r>
    </w:p>
    <w:p>
      <w:pPr>
        <w:spacing w:before="120" w:after="80"/>
      </w:pPr>
      <w:r>
        <w:rPr>
          <w:b/>
          <w:color w:val="206080"/>
          <w:sz w:val="20"/>
        </w:rPr>
        <w:t>Kluczowe ustalenia</w:t>
      </w:r>
    </w:p>
    <w:p>
      <w:pPr>
        <w:spacing w:after="80"/>
      </w:pPr>
      <w:r>
        <w:rPr>
          <w:sz w:val="20"/>
        </w:rPr>
      </w:r>
      <w:r>
        <w:rPr>
          <w:b/>
          <w:sz w:val="20"/>
        </w:rPr>
        <w:t>Problem 1: GA4 hardcoded + GTM = podwójna konfiguracja (KRYTYCZNE)</w:t>
      </w:r>
      <w:r>
        <w:rPr>
          <w:sz w:val="20"/>
        </w:rPr>
      </w:r>
    </w:p>
    <w:p>
      <w:pPr>
        <w:spacing w:after="80"/>
      </w:pPr>
      <w:r>
        <w:rPr>
          <w:sz w:val="20"/>
        </w:rPr>
        <w:t>Główna przyczyna wszystkich problemów z danymi e-commerce. Ustawienie "Ignorowanie zduplikowanych konfiguracji" w GA4 → Strumień → Zarządzaj tagiem ma być pierwszą linią obrony, ale nie zastępuje usunięcia hardcoded tagu. Kompletna naprawa wymaga dwóch kroków:</w:t>
      </w:r>
    </w:p>
    <w:p>
      <w:pPr>
        <w:pStyle w:val="ListNumber"/>
        <w:spacing w:after="40"/>
        <w:ind w:left="283"/>
      </w:pPr>
      <w:r>
        <w:rPr>
          <w:sz w:val="20"/>
        </w:rPr>
        <w:t>Usunięcie gtag('config', 'G-93NK3C48R3') z kodu HTML PrestaShop (moduł/template)</w:t>
      </w:r>
    </w:p>
    <w:p>
      <w:pPr>
        <w:pStyle w:val="ListNumber"/>
        <w:spacing w:after="40"/>
        <w:ind w:left="283"/>
      </w:pPr>
      <w:r>
        <w:rPr>
          <w:sz w:val="20"/>
        </w:rPr>
        <w:t>Upewnienie się że GA4 jest wysyłany wyłącznie przez GTM</w:t>
      </w:r>
    </w:p>
    <w:p>
      <w:pPr>
        <w:spacing w:after="80"/>
      </w:pPr>
      <w:r>
        <w:rPr>
          <w:sz w:val="20"/>
        </w:rPr>
      </w:r>
      <w:r>
        <w:rPr>
          <w:b/>
          <w:sz w:val="20"/>
        </w:rPr>
        <w:t>Problem 2: Klarna nie wykluczona z cross-domain / referral</w:t>
      </w:r>
      <w:r>
        <w:rPr>
          <w:sz w:val="20"/>
        </w:rPr>
      </w:r>
    </w:p>
    <w:p>
      <w:pPr>
        <w:spacing w:after="80"/>
      </w:pPr>
      <w:r>
        <w:rPr>
          <w:sz w:val="20"/>
        </w:rPr>
        <w:t>Klarna to bramka płatności działająca na osobnej domenie. Gdy klient wraca ze strony Klarna do patrizia.aryton.pl po sfinalizowaniu płatności, GA4 traktuje to jako nową sesję z referral źródła "klarna". W danych widoczne: 71 sesji klarna/referral, 1 purchase z revenue = 0 PLN. To oznacza że transakcja nie jest przypisana do oryginalnego kanału pozyskania (np. Google Ads CPC) ale do "klarna/referral".</w:t>
      </w:r>
    </w:p>
    <w:p>
      <w:pPr>
        <w:spacing w:after="80"/>
      </w:pPr>
      <w:r>
        <w:rPr>
          <w:sz w:val="20"/>
        </w:rPr>
        <w:t>Naprawa: GA4 → Strumień → Konfigurowanie tagów → Lista domen / Referral exclusion → dodać: klarna.com, pay.klarna.com.</w:t>
      </w:r>
    </w:p>
    <w:p>
      <w:pPr>
        <w:spacing w:after="80"/>
      </w:pPr>
      <w:r>
        <w:rPr>
          <w:sz w:val="20"/>
        </w:rPr>
      </w:r>
      <w:r>
        <w:rPr>
          <w:b/>
          <w:sz w:val="20"/>
        </w:rPr>
        <w:t>Problem 3: Webmaile w referral exclusion — brak wykluczeń</w:t>
      </w:r>
      <w:r>
        <w:rPr>
          <w:sz w:val="20"/>
        </w:rPr>
      </w:r>
    </w:p>
    <w:p>
      <w:pPr>
        <w:spacing w:after="80"/>
      </w:pPr>
      <w:r>
        <w:rPr>
          <w:sz w:val="20"/>
        </w:rPr>
        <w:t>W danych GA4 widoczne cztery serwisy poczty internetowej jako źródła ruchu (referral):</w:t>
      </w:r>
    </w:p>
    <w:p>
      <w:pPr>
        <w:pStyle w:val="ListBullet"/>
        <w:spacing w:after="40"/>
        <w:ind w:left="283"/>
      </w:pPr>
      <w:r>
        <w:rPr>
          <w:sz w:val="20"/>
        </w:rPr>
        <w:t>poczta.onet.pl: 198 sesji, 3 purchases, 0 PLN revenue</w:t>
      </w:r>
    </w:p>
    <w:p>
      <w:pPr>
        <w:pStyle w:val="ListBullet"/>
        <w:spacing w:after="40"/>
        <w:ind w:left="283"/>
      </w:pPr>
      <w:r>
        <w:rPr>
          <w:sz w:val="20"/>
        </w:rPr>
        <w:t>poczta.interia.pl: 80 sesji, 2 purchases, 0 PLN revenue</w:t>
      </w:r>
    </w:p>
    <w:p>
      <w:pPr>
        <w:pStyle w:val="ListBullet"/>
        <w:spacing w:after="40"/>
        <w:ind w:left="283"/>
      </w:pPr>
      <w:r>
        <w:rPr>
          <w:sz w:val="20"/>
        </w:rPr>
        <w:t>poczta.wp.pl: 46 sesji, 3 purchases, 719 PLN revenue</w:t>
      </w:r>
    </w:p>
    <w:p>
      <w:pPr>
        <w:pStyle w:val="ListBullet"/>
        <w:spacing w:after="40"/>
        <w:ind w:left="283"/>
      </w:pPr>
      <w:r>
        <w:rPr>
          <w:sz w:val="20"/>
        </w:rPr>
        <w:t>poczta.o2.pl: 46 sesji, 1 purchase, 0 PLN revenue</w:t>
      </w:r>
    </w:p>
    <w:p>
      <w:pPr>
        <w:spacing w:after="80"/>
      </w:pPr>
      <w:r>
        <w:rPr>
          <w:sz w:val="20"/>
        </w:rPr>
        <w:t>Łącznie 370 sesji i 9 zakupów nieprawidłowo przypisanych do referral zamiast do kanału email (eDrone). Użytkownik klikający link w emailu na onet.pl jest traktowany jako przychodzący z onet.pl (referral), nie z eDrone (email). Zaniżenie skuteczności email marketingu.</w:t>
      </w:r>
    </w:p>
    <w:p>
      <w:pPr>
        <w:spacing w:after="80"/>
      </w:pPr>
      <w:r>
        <w:rPr>
          <w:sz w:val="20"/>
        </w:rPr>
      </w:r>
      <w:r>
        <w:rPr>
          <w:b/>
          <w:sz w:val="20"/>
        </w:rPr>
        <w:t>Problem 4: Ruch wewnętrzny nie filtrowany</w:t>
      </w:r>
      <w:r>
        <w:rPr>
          <w:sz w:val="20"/>
        </w:rPr>
      </w:r>
    </w:p>
    <w:p>
      <w:pPr>
        <w:spacing w:after="80"/>
      </w:pPr>
      <w:r>
        <w:rPr>
          <w:sz w:val="20"/>
        </w:rPr>
        <w:t>W danych GA4 widoczne dwa źródła wewnętrzne:</w:t>
      </w:r>
    </w:p>
    <w:p>
      <w:pPr>
        <w:pStyle w:val="ListBullet"/>
        <w:spacing w:after="40"/>
        <w:ind w:left="283"/>
      </w:pPr>
      <w:r>
        <w:rPr>
          <w:sz w:val="20"/>
        </w:rPr>
        <w:t>dev18.arytondev.local / referral: 10 sesji — środowisko deweloperskie PrestaShop</w:t>
      </w:r>
    </w:p>
    <w:p>
      <w:pPr>
        <w:pStyle w:val="ListBullet"/>
        <w:spacing w:after="40"/>
        <w:ind w:left="283"/>
      </w:pPr>
      <w:r>
        <w:rPr>
          <w:sz w:val="20"/>
        </w:rPr>
        <w:t>arytonpl.sharepoint.com / referral: 28 sesji — wewnętrzny SharePoint Aryton (pracownicy)</w:t>
      </w:r>
    </w:p>
    <w:p>
      <w:pPr>
        <w:spacing w:after="80"/>
      </w:pPr>
      <w:r>
        <w:rPr>
          <w:sz w:val="20"/>
        </w:rPr>
        <w:t>Łącznie 38 sesji ze źródeł firmowych zaburza dane. Brak filtra IP w GA4 → Admin → Filtry danych.</w:t>
      </w:r>
    </w:p>
    <w:p>
      <w:pPr>
        <w:spacing w:after="80"/>
      </w:pPr>
      <w:r>
        <w:rPr>
          <w:sz w:val="20"/>
        </w:rPr>
      </w:r>
      <w:r>
        <w:rPr>
          <w:b/>
          <w:sz w:val="20"/>
        </w:rPr>
        <w:t>Problem 5: Brak mikro-konwersji</w:t>
      </w:r>
      <w:r>
        <w:rPr>
          <w:sz w:val="20"/>
        </w:rPr>
      </w:r>
    </w:p>
    <w:p>
      <w:pPr>
        <w:spacing w:after="80"/>
      </w:pPr>
      <w:r>
        <w:rPr>
          <w:sz w:val="20"/>
        </w:rPr>
        <w:t>Na podstawie poprzedniego audytu: jako konwersje w GA4 oznaczony jest wyłącznie purchase. Brak add_to_cart i begin_checkout jako konwersji pośrednich uniemożliwia algorytmom Google Smart Bidding optymalizację kampanii na wcześniejsze etapy lejka zakupowego. Szczególnie ważne dla kampanii PMax, które stanowią ~39% całego ruchu (Cross-network: 125 584 sesji).</w:t>
      </w:r>
    </w:p>
    <w:p>
      <w:pPr>
        <w:spacing w:after="80"/>
      </w:pPr>
      <w:r>
        <w:rPr>
          <w:sz w:val="20"/>
        </w:rPr>
      </w:r>
      <w:r>
        <w:rPr>
          <w:b/>
          <w:sz w:val="20"/>
        </w:rPr>
        <w:t>Co działa dobrze:</w:t>
      </w:r>
      <w:r>
        <w:rPr>
          <w:sz w:val="20"/>
        </w:rPr>
      </w:r>
    </w:p>
    <w:p>
      <w:pPr>
        <w:pStyle w:val="ListBullet"/>
        <w:spacing w:after="40"/>
        <w:ind w:left="283"/>
      </w:pPr>
      <w:r>
        <w:rPr>
          <w:sz w:val="20"/>
        </w:rPr>
        <w:t>Jeden kontener GTM — bez duplikacji GTM ✅</w:t>
      </w:r>
    </w:p>
    <w:p>
      <w:pPr>
        <w:pStyle w:val="ListBullet"/>
        <w:spacing w:after="40"/>
        <w:ind w:left="283"/>
      </w:pPr>
      <w:r>
        <w:rPr>
          <w:sz w:val="20"/>
        </w:rPr>
        <w:t>Waluta PLN ustawiona ✅</w:t>
      </w:r>
    </w:p>
    <w:p>
      <w:pPr>
        <w:pStyle w:val="ListBullet"/>
        <w:spacing w:after="40"/>
        <w:ind w:left="283"/>
      </w:pPr>
      <w:r>
        <w:rPr>
          <w:sz w:val="20"/>
        </w:rPr>
        <w:t>BigQuery eksport aktywny ✅</w:t>
      </w:r>
    </w:p>
    <w:p>
      <w:pPr>
        <w:pStyle w:val="ListBullet"/>
        <w:spacing w:after="40"/>
        <w:ind w:left="283"/>
      </w:pPr>
      <w:r>
        <w:rPr>
          <w:sz w:val="20"/>
        </w:rPr>
        <w:t>Google Ads połączone z GA4 ✅</w:t>
      </w:r>
    </w:p>
    <w:p>
      <w:pPr>
        <w:pStyle w:val="ListBullet"/>
        <w:spacing w:after="40"/>
        <w:ind w:left="283"/>
      </w:pPr>
      <w:r>
        <w:rPr>
          <w:sz w:val="20"/>
        </w:rPr>
        <w:t>Model atrybucji Data-Driven (DDA) ✅</w:t>
      </w:r>
    </w:p>
    <w:p>
      <w:pPr>
        <w:pStyle w:val="ListBullet"/>
        <w:spacing w:after="40"/>
        <w:ind w:left="283"/>
      </w:pPr>
      <w:r>
        <w:rPr>
          <w:sz w:val="20"/>
        </w:rPr>
        <w:t>Brak Universal Analytics ✅</w:t>
      </w:r>
    </w:p>
    <w:p>
      <w:pPr>
        <w:spacing w:after="80"/>
      </w:pPr>
    </w:p>
    <w:p>
      <w:pPr>
        <w:spacing w:before="120" w:after="80"/>
      </w:pPr>
      <w:r>
        <w:rPr>
          <w:b/>
          <w:color w:val="0F3D66"/>
          <w:sz w:val="22"/>
        </w:rPr>
        <w:t>SEKCJA 4 — Data Quality (40/75 pkt = 53% ⚠️)</w:t>
      </w:r>
    </w:p>
    <w:p>
      <w:pPr>
        <w:spacing w:before="120" w:after="80"/>
      </w:pPr>
      <w:r>
        <w:rPr>
          <w:b/>
          <w:color w:val="206080"/>
          <w:sz w:val="20"/>
        </w:rPr>
        <w:t>Co sprawdzamy i dlaczego</w:t>
      </w:r>
    </w:p>
    <w:p>
      <w:pPr>
        <w:spacing w:after="80"/>
      </w:pPr>
      <w:r>
        <w:rPr>
          <w:sz w:val="20"/>
        </w:rPr>
        <w:t>Jakość danych to serce każdego audytu MarTech. Najlepsza konfiguracja techniczna jest bezużyteczna jeśli dane które zbieramy są nieprawidłowe, zduplikowane lub niekompletne. Sprawdzamy czy liczby w GA4 odzwierciedlają rzeczywistość: czy transakcje są prawidłowo liczone, czy ID zamówień są unikalne i poprawne, czy lejek zakupowy ma sens logiczny, czy atrybucja kanałów jest właściwa.</w:t>
      </w:r>
    </w:p>
    <w:p>
      <w:pPr>
        <w:spacing w:before="120" w:after="80"/>
      </w:pPr>
      <w:r>
        <w:rPr>
          <w:b/>
          <w:color w:val="206080"/>
          <w:sz w:val="20"/>
        </w:rPr>
        <w:t>Kluczowe ustalenia</w:t>
      </w:r>
    </w:p>
    <w:p>
      <w:pPr>
        <w:spacing w:after="80"/>
      </w:pPr>
      <w:r>
        <w:rPr>
          <w:sz w:val="20"/>
        </w:rPr>
      </w:r>
      <w:r>
        <w:rPr>
          <w:b/>
          <w:sz w:val="20"/>
        </w:rPr>
        <w:t>KPI ogólne (30 dni, 08.03–07.04.2026):</w:t>
      </w:r>
      <w:r>
        <w:rPr>
          <w:sz w:val="20"/>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Wskaźnik</w:t>
            </w:r>
          </w:p>
        </w:tc>
        <w:tc>
          <w:tcPr>
            <w:tcW w:type="dxa" w:w="3135"/>
            <w:shd w:val="clear" w:color="auto" w:fill="1a1a2e"/>
          </w:tcPr>
          <w:p>
            <w:pPr>
              <w:spacing w:before="40" w:after="40"/>
            </w:pPr>
            <w:r>
              <w:rPr>
                <w:b/>
                <w:color w:val="FFFFFF"/>
                <w:sz w:val="17"/>
              </w:rPr>
              <w:t>Wartość</w:t>
            </w:r>
          </w:p>
        </w:tc>
        <w:tc>
          <w:tcPr>
            <w:tcW w:type="dxa" w:w="3135"/>
            <w:shd w:val="clear" w:color="auto" w:fill="1a1a2e"/>
          </w:tcPr>
          <w:p>
            <w:pPr>
              <w:spacing w:before="40" w:after="40"/>
            </w:pPr>
            <w:r>
              <w:rPr>
                <w:b/>
                <w:color w:val="FFFFFF"/>
                <w:sz w:val="17"/>
              </w:rPr>
              <w:t>Ocena</w:t>
            </w:r>
          </w:p>
        </w:tc>
      </w:tr>
      <w:tr>
        <w:tc>
          <w:tcPr>
            <w:tcW w:type="dxa" w:w="3135"/>
          </w:tcPr>
          <w:p>
            <w:pPr>
              <w:spacing w:before="40" w:after="40"/>
            </w:pPr>
            <w:r>
              <w:rPr>
                <w:sz w:val="17"/>
              </w:rPr>
              <w:t>Sesje łącznie</w:t>
            </w:r>
          </w:p>
        </w:tc>
        <w:tc>
          <w:tcPr>
            <w:tcW w:type="dxa" w:w="3135"/>
          </w:tcPr>
          <w:p>
            <w:pPr>
              <w:spacing w:before="40" w:after="40"/>
            </w:pPr>
            <w:r>
              <w:rPr>
                <w:sz w:val="17"/>
              </w:rPr>
              <w:t>320 607</w:t>
            </w:r>
          </w:p>
        </w:tc>
        <w:tc>
          <w:tcPr>
            <w:tcW w:type="dxa" w:w="3135"/>
          </w:tcPr>
          <w:p>
            <w:pPr>
              <w:spacing w:before="40" w:after="40"/>
            </w:pPr>
            <w:r>
              <w:rPr>
                <w:sz w:val="17"/>
              </w:rPr>
              <w:t>✅</w:t>
            </w:r>
          </w:p>
        </w:tc>
      </w:tr>
      <w:tr>
        <w:tc>
          <w:tcPr>
            <w:tcW w:type="dxa" w:w="3135"/>
          </w:tcPr>
          <w:p>
            <w:pPr>
              <w:spacing w:before="40" w:after="40"/>
            </w:pPr>
            <w:r>
              <w:rPr>
                <w:sz w:val="17"/>
              </w:rPr>
              <w:t>ecommercePurchases (raw, zduplikowane)</w:t>
            </w:r>
          </w:p>
        </w:tc>
        <w:tc>
          <w:tcPr>
            <w:tcW w:type="dxa" w:w="3135"/>
          </w:tcPr>
          <w:p>
            <w:pPr>
              <w:spacing w:before="40" w:after="40"/>
            </w:pPr>
            <w:r>
              <w:rPr>
                <w:sz w:val="17"/>
              </w:rPr>
              <w:t>1 582</w:t>
            </w:r>
          </w:p>
        </w:tc>
        <w:tc>
          <w:tcPr>
            <w:tcW w:type="dxa" w:w="3135"/>
          </w:tcPr>
          <w:p>
            <w:pPr>
              <w:spacing w:before="40" w:after="40"/>
            </w:pPr>
            <w:r>
              <w:rPr>
                <w:sz w:val="17"/>
              </w:rPr>
              <w:t>❌ zawyżone 3.83x</w:t>
            </w:r>
          </w:p>
        </w:tc>
      </w:tr>
      <w:tr>
        <w:tc>
          <w:tcPr>
            <w:tcW w:type="dxa" w:w="3135"/>
          </w:tcPr>
          <w:p>
            <w:pPr>
              <w:spacing w:before="40" w:after="40"/>
            </w:pPr>
            <w:r>
              <w:rPr>
                <w:sz w:val="17"/>
              </w:rPr>
              <w:t>Transakcje (unikalne, deduplikowane)</w:t>
            </w:r>
          </w:p>
        </w:tc>
        <w:tc>
          <w:tcPr>
            <w:tcW w:type="dxa" w:w="3135"/>
          </w:tcPr>
          <w:p>
            <w:pPr>
              <w:spacing w:before="40" w:after="40"/>
            </w:pPr>
            <w:r>
              <w:rPr>
                <w:sz w:val="17"/>
              </w:rPr>
              <w:t>413</w:t>
            </w:r>
          </w:p>
        </w:tc>
        <w:tc>
          <w:tcPr>
            <w:tcW w:type="dxa" w:w="3135"/>
          </w:tcPr>
          <w:p>
            <w:pPr>
              <w:spacing w:before="40" w:after="40"/>
            </w:pPr>
            <w:r>
              <w:rPr>
                <w:sz w:val="17"/>
              </w:rPr>
              <w:t>⚠️ zaniżone 72% malformed</w:t>
            </w:r>
          </w:p>
        </w:tc>
      </w:tr>
      <w:tr>
        <w:tc>
          <w:tcPr>
            <w:tcW w:type="dxa" w:w="3135"/>
          </w:tcPr>
          <w:p>
            <w:pPr>
              <w:spacing w:before="40" w:after="40"/>
            </w:pPr>
            <w:r>
              <w:rPr>
                <w:sz w:val="17"/>
              </w:rPr>
              <w:t>Przychód</w:t>
            </w:r>
          </w:p>
        </w:tc>
        <w:tc>
          <w:tcPr>
            <w:tcW w:type="dxa" w:w="3135"/>
          </w:tcPr>
          <w:p>
            <w:pPr>
              <w:spacing w:before="40" w:after="40"/>
            </w:pPr>
            <w:r>
              <w:rPr>
                <w:sz w:val="17"/>
              </w:rPr>
              <w:t>515 556 PLN</w:t>
            </w:r>
          </w:p>
        </w:tc>
        <w:tc>
          <w:tcPr>
            <w:tcW w:type="dxa" w:w="3135"/>
          </w:tcPr>
          <w:p>
            <w:pPr>
              <w:spacing w:before="40" w:after="40"/>
            </w:pPr>
            <w:r>
              <w:rPr>
                <w:sz w:val="17"/>
              </w:rPr>
              <w:t>⚠️ częściowy</w:t>
            </w:r>
          </w:p>
        </w:tc>
      </w:tr>
      <w:tr>
        <w:tc>
          <w:tcPr>
            <w:tcW w:type="dxa" w:w="3135"/>
          </w:tcPr>
          <w:p>
            <w:pPr>
              <w:spacing w:before="40" w:after="40"/>
            </w:pPr>
            <w:r>
              <w:rPr>
                <w:sz w:val="17"/>
              </w:rPr>
              <w:t>addToCarts</w:t>
            </w:r>
          </w:p>
        </w:tc>
        <w:tc>
          <w:tcPr>
            <w:tcW w:type="dxa" w:w="3135"/>
          </w:tcPr>
          <w:p>
            <w:pPr>
              <w:spacing w:before="40" w:after="40"/>
            </w:pPr>
            <w:r>
              <w:rPr>
                <w:sz w:val="17"/>
              </w:rPr>
              <w:t>32 652</w:t>
            </w:r>
          </w:p>
        </w:tc>
        <w:tc>
          <w:tcPr>
            <w:tcW w:type="dxa" w:w="3135"/>
          </w:tcPr>
          <w:p>
            <w:pPr>
              <w:spacing w:before="40" w:after="40"/>
            </w:pPr>
            <w:r>
              <w:rPr>
                <w:sz w:val="17"/>
              </w:rPr>
              <w:t>✅</w:t>
            </w:r>
          </w:p>
        </w:tc>
      </w:tr>
      <w:tr>
        <w:tc>
          <w:tcPr>
            <w:tcW w:type="dxa" w:w="3135"/>
          </w:tcPr>
          <w:p>
            <w:pPr>
              <w:spacing w:before="40" w:after="40"/>
            </w:pPr>
            <w:r>
              <w:rPr>
                <w:sz w:val="17"/>
              </w:rPr>
              <w:t>begin_checkout</w:t>
            </w:r>
          </w:p>
        </w:tc>
        <w:tc>
          <w:tcPr>
            <w:tcW w:type="dxa" w:w="3135"/>
          </w:tcPr>
          <w:p>
            <w:pPr>
              <w:spacing w:before="40" w:after="40"/>
            </w:pPr>
            <w:r>
              <w:rPr>
                <w:sz w:val="17"/>
              </w:rPr>
              <w:t>1 296</w:t>
            </w:r>
          </w:p>
        </w:tc>
        <w:tc>
          <w:tcPr>
            <w:tcW w:type="dxa" w:w="3135"/>
          </w:tcPr>
          <w:p>
            <w:pPr>
              <w:spacing w:before="40" w:after="40"/>
            </w:pPr>
            <w:r>
              <w:rPr>
                <w:sz w:val="17"/>
              </w:rPr>
              <w:t>✅</w:t>
            </w:r>
          </w:p>
        </w:tc>
      </w:tr>
      <w:tr>
        <w:tc>
          <w:tcPr>
            <w:tcW w:type="dxa" w:w="3135"/>
          </w:tcPr>
          <w:p>
            <w:pPr>
              <w:spacing w:before="40" w:after="40"/>
            </w:pPr>
            <w:r>
              <w:rPr>
                <w:sz w:val="17"/>
              </w:rPr>
              <w:t>CR (transactions/sesje)</w:t>
            </w:r>
          </w:p>
        </w:tc>
        <w:tc>
          <w:tcPr>
            <w:tcW w:type="dxa" w:w="3135"/>
          </w:tcPr>
          <w:p>
            <w:pPr>
              <w:spacing w:before="40" w:after="40"/>
            </w:pPr>
            <w:r>
              <w:rPr>
                <w:sz w:val="17"/>
              </w:rPr>
              <w:t>0,13%</w:t>
            </w:r>
          </w:p>
        </w:tc>
        <w:tc>
          <w:tcPr>
            <w:tcW w:type="dxa" w:w="3135"/>
          </w:tcPr>
          <w:p>
            <w:pPr>
              <w:spacing w:before="40" w:after="40"/>
            </w:pPr>
            <w:r>
              <w:rPr>
                <w:sz w:val="17"/>
              </w:rPr>
              <w:t>❌ za niskie</w:t>
            </w:r>
          </w:p>
        </w:tc>
      </w:tr>
      <w:tr>
        <w:tc>
          <w:tcPr>
            <w:tcW w:type="dxa" w:w="3135"/>
          </w:tcPr>
          <w:p>
            <w:pPr>
              <w:spacing w:before="40" w:after="40"/>
            </w:pPr>
            <w:r>
              <w:rPr>
                <w:sz w:val="17"/>
              </w:rPr>
              <w:t>AOV</w:t>
            </w:r>
          </w:p>
        </w:tc>
        <w:tc>
          <w:tcPr>
            <w:tcW w:type="dxa" w:w="3135"/>
          </w:tcPr>
          <w:p>
            <w:pPr>
              <w:spacing w:before="40" w:after="40"/>
            </w:pPr>
            <w:r>
              <w:rPr>
                <w:sz w:val="17"/>
              </w:rPr>
              <w:t>1 249 PLN</w:t>
            </w:r>
          </w:p>
        </w:tc>
        <w:tc>
          <w:tcPr>
            <w:tcW w:type="dxa" w:w="3135"/>
          </w:tcPr>
          <w:p>
            <w:pPr>
              <w:spacing w:before="40" w:after="40"/>
            </w:pPr>
            <w:r>
              <w:rPr>
                <w:sz w:val="17"/>
              </w:rPr>
              <w:t>✅ spójne z premium</w:t>
            </w:r>
          </w:p>
        </w:tc>
      </w:tr>
    </w:tbl>
    <w:p/>
    <w:p>
      <w:pPr>
        <w:spacing w:after="80"/>
      </w:pPr>
      <w:r>
        <w:rPr>
          <w:sz w:val="20"/>
        </w:rPr>
      </w:r>
      <w:r>
        <w:rPr>
          <w:b/>
          <w:sz w:val="20"/>
        </w:rPr>
        <w:t>Analiza duplikacji transaction ID:</w:t>
      </w:r>
      <w:r>
        <w:rPr>
          <w:sz w:val="20"/>
        </w:rPr>
      </w:r>
    </w:p>
    <w:p>
      <w:pPr>
        <w:spacing w:after="80"/>
      </w:pPr>
      <w:r>
        <w:rPr>
          <w:sz w:val="20"/>
        </w:rPr>
        <w:t>Z 1 503 unikalnych transaction ID w bazie GA4:</w:t>
      </w:r>
    </w:p>
    <w:p>
      <w:pPr>
        <w:pStyle w:val="ListBullet"/>
        <w:spacing w:after="40"/>
        <w:ind w:left="283"/>
      </w:pPr>
      <w:r>
        <w:rPr>
          <w:sz w:val="20"/>
        </w:rPr>
        <w:t>1 088 (72,4%) — malformed: format 210032&amp;key=1abe2783234b4109f15a80bdd3246c14</w:t>
      </w:r>
    </w:p>
    <w:p>
      <w:pPr>
        <w:pStyle w:val="ListBullet"/>
        <w:spacing w:after="40"/>
        <w:ind w:left="283"/>
      </w:pPr>
      <w:r>
        <w:rPr>
          <w:sz w:val="20"/>
        </w:rPr>
        <w:t>414 (27,5%) — czyste ID zamówień (np. 210032)</w:t>
      </w:r>
    </w:p>
    <w:p>
      <w:pPr>
        <w:pStyle w:val="ListBullet"/>
        <w:spacing w:after="40"/>
        <w:ind w:left="283"/>
      </w:pPr>
      <w:r>
        <w:rPr>
          <w:sz w:val="20"/>
        </w:rPr>
        <w:t>1 (0,1%) — (not set): 92 purchase events bez ID</w:t>
      </w:r>
    </w:p>
    <w:p>
      <w:pPr>
        <w:spacing w:after="80"/>
      </w:pPr>
      <w:r>
        <w:rPr>
          <w:sz w:val="20"/>
        </w:rPr>
      </w:r>
      <w:r>
        <w:rPr>
          <w:b/>
          <w:sz w:val="20"/>
        </w:rPr>
        <w:t>Skąd bierze się malformed ID?</w:t>
      </w:r>
      <w:r>
        <w:rPr>
          <w:sz w:val="20"/>
        </w:rPr>
        <w:t>PrestaShop na stronie potwierdzenia zamówienia (thank-you page) generuje URL w formacie: https://patrizia.aryton.pl/zamowienie-potwierdzenie?id_order=210032&amp;key=1abe2783.... Skrypt zbierający transaction ID pobiera cały ciąg id_order=210032&amp;key=... zamiast tylko 210032. Prawdopodobna przyczyna: GTM Variable pobierający Page URL lub Query String zamiast właściwej zmiennej DataLayer.</w:t>
      </w:r>
    </w:p>
    <w:p>
      <w:pPr>
        <w:spacing w:after="80"/>
      </w:pPr>
      <w:r>
        <w:rPr>
          <w:sz w:val="20"/>
        </w:rPr>
      </w:r>
      <w:r>
        <w:rPr>
          <w:b/>
          <w:sz w:val="20"/>
        </w:rPr>
        <w:t>Krytyczna anomalia produktowa:</w:t>
      </w:r>
      <w:r>
        <w:rPr>
          <w:sz w:val="20"/>
        </w:rPr>
      </w:r>
    </w:p>
    <w:p>
      <w:pPr>
        <w:spacing w:after="80"/>
      </w:pPr>
      <w:r>
        <w:rPr>
          <w:sz w:val="20"/>
        </w:rPr>
        <w:t>W 30-dniowym oknie analizy, dla wszystkich 2 691 produktów w katalogu:</w:t>
      </w:r>
    </w:p>
    <w:p>
      <w:pPr>
        <w:pStyle w:val="ListBullet"/>
        <w:spacing w:after="40"/>
        <w:ind w:left="283"/>
      </w:pPr>
      <w:r>
        <w:rPr>
          <w:sz w:val="20"/>
        </w:rPr>
        <w:t>itemsPurchased = 0</w:t>
      </w:r>
    </w:p>
    <w:p>
      <w:pPr>
        <w:pStyle w:val="ListBullet"/>
        <w:spacing w:after="40"/>
        <w:ind w:left="283"/>
      </w:pPr>
      <w:r>
        <w:rPr>
          <w:sz w:val="20"/>
        </w:rPr>
        <w:t>itemRevenue = 0</w:t>
      </w:r>
    </w:p>
    <w:p>
      <w:pPr>
        <w:spacing w:after="80"/>
      </w:pPr>
      <w:r>
        <w:rPr>
          <w:sz w:val="20"/>
        </w:rPr>
        <w:t>To nie jest przypadkowy błąd jednego produktu — to systemowe niefunkcjonowanie tablicy items[] w zdarzeniu purchase. Możliwe przyczyny:</w:t>
      </w:r>
    </w:p>
    <w:p>
      <w:pPr>
        <w:pStyle w:val="ListNumber"/>
        <w:spacing w:after="40"/>
        <w:ind w:left="283"/>
      </w:pPr>
      <w:r>
        <w:rPr>
          <w:sz w:val="20"/>
        </w:rPr>
        <w:t>Hardcoded gtag('event', 'purchase') wysyła purchase bez parametrów ecommerce</w:t>
      </w:r>
    </w:p>
    <w:p>
      <w:pPr>
        <w:pStyle w:val="ListNumber"/>
        <w:spacing w:after="40"/>
        <w:ind w:left="283"/>
      </w:pPr>
      <w:r>
        <w:rPr>
          <w:sz w:val="20"/>
        </w:rPr>
        <w:t>GTM pobiera items z DataLayer który jest pusty lub ma inną strukturę niż oczekiwana</w:t>
      </w:r>
    </w:p>
    <w:p>
      <w:pPr>
        <w:pStyle w:val="ListNumber"/>
        <w:spacing w:after="40"/>
        <w:ind w:left="283"/>
      </w:pPr>
      <w:r>
        <w:rPr>
          <w:sz w:val="20"/>
        </w:rPr>
        <w:t>Konflikt między dwoma instancjami GA4 powoduje że items z jednej instancji "przepadają"</w:t>
      </w:r>
    </w:p>
    <w:p>
      <w:pPr>
        <w:spacing w:after="80"/>
      </w:pPr>
      <w:r>
        <w:rPr>
          <w:sz w:val="20"/>
        </w:rPr>
      </w:r>
      <w:r>
        <w:rPr>
          <w:b/>
          <w:sz w:val="20"/>
        </w:rPr>
        <w:t>Anomalie lejka zakupowego:</w:t>
      </w:r>
      <w:r>
        <w:rPr>
          <w:sz w:val="20"/>
        </w:rP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Etap</w:t>
            </w:r>
          </w:p>
        </w:tc>
        <w:tc>
          <w:tcPr>
            <w:tcW w:type="dxa" w:w="1881"/>
            <w:shd w:val="clear" w:color="auto" w:fill="1a1a2e"/>
          </w:tcPr>
          <w:p>
            <w:pPr>
              <w:spacing w:before="40" w:after="40"/>
            </w:pPr>
            <w:r>
              <w:rPr>
                <w:b/>
                <w:color w:val="FFFFFF"/>
                <w:sz w:val="17"/>
              </w:rPr>
              <w:t>Zdarzenia</w:t>
            </w:r>
          </w:p>
        </w:tc>
        <w:tc>
          <w:tcPr>
            <w:tcW w:type="dxa" w:w="1881"/>
            <w:shd w:val="clear" w:color="auto" w:fill="1a1a2e"/>
          </w:tcPr>
          <w:p>
            <w:pPr>
              <w:spacing w:before="40" w:after="40"/>
            </w:pPr>
            <w:r>
              <w:rPr>
                <w:b/>
                <w:color w:val="FFFFFF"/>
                <w:sz w:val="17"/>
              </w:rPr>
              <w:t>Przejście</w:t>
            </w:r>
          </w:p>
        </w:tc>
        <w:tc>
          <w:tcPr>
            <w:tcW w:type="dxa" w:w="1881"/>
            <w:shd w:val="clear" w:color="auto" w:fill="1a1a2e"/>
          </w:tcPr>
          <w:p>
            <w:pPr>
              <w:spacing w:before="40" w:after="40"/>
            </w:pPr>
            <w:r>
              <w:rPr>
                <w:b/>
                <w:color w:val="FFFFFF"/>
                <w:sz w:val="17"/>
              </w:rPr>
              <w:t>Benchmark</w:t>
            </w:r>
          </w:p>
        </w:tc>
        <w:tc>
          <w:tcPr>
            <w:tcW w:type="dxa" w:w="1881"/>
            <w:shd w:val="clear" w:color="auto" w:fill="1a1a2e"/>
          </w:tcPr>
          <w:p>
            <w:pPr>
              <w:spacing w:before="40" w:after="40"/>
            </w:pPr>
            <w:r>
              <w:rPr>
                <w:b/>
                <w:color w:val="FFFFFF"/>
                <w:sz w:val="17"/>
              </w:rPr>
              <w:t>Status</w:t>
            </w:r>
          </w:p>
        </w:tc>
      </w:tr>
      <w:tr>
        <w:tc>
          <w:tcPr>
            <w:tcW w:type="dxa" w:w="1881"/>
          </w:tcPr>
          <w:p>
            <w:pPr>
              <w:spacing w:before="40" w:after="40"/>
            </w:pPr>
            <w:r>
              <w:rPr>
                <w:sz w:val="17"/>
              </w:rPr>
              <w:t>add_to_cart</w:t>
            </w:r>
          </w:p>
        </w:tc>
        <w:tc>
          <w:tcPr>
            <w:tcW w:type="dxa" w:w="1881"/>
          </w:tcPr>
          <w:p>
            <w:pPr>
              <w:spacing w:before="40" w:after="40"/>
            </w:pPr>
            <w:r>
              <w:rPr>
                <w:sz w:val="17"/>
              </w:rPr>
              <w:t>32 652</w:t>
            </w:r>
          </w:p>
        </w:tc>
        <w:tc>
          <w:tcPr>
            <w:tcW w:type="dxa" w:w="1881"/>
          </w:tcPr>
          <w:p>
            <w:pPr>
              <w:spacing w:before="40" w:after="40"/>
            </w:pPr>
            <w:r>
              <w:rPr>
                <w:sz w:val="17"/>
              </w:rPr>
              <w:t>—</w:t>
            </w:r>
          </w:p>
        </w:tc>
        <w:tc>
          <w:tcPr>
            <w:tcW w:type="dxa" w:w="1881"/>
          </w:tcPr>
          <w:p>
            <w:pPr>
              <w:spacing w:before="40" w:after="40"/>
            </w:pPr>
            <w:r>
              <w:rPr>
                <w:sz w:val="17"/>
              </w:rPr>
              <w:t>—</w:t>
            </w:r>
          </w:p>
        </w:tc>
        <w:tc>
          <w:tcPr>
            <w:tcW w:type="dxa" w:w="1881"/>
          </w:tcPr>
          <w:p>
            <w:pPr>
              <w:spacing w:before="40" w:after="40"/>
            </w:pPr>
            <w:r>
              <w:rPr>
                <w:sz w:val="17"/>
              </w:rPr>
              <w:t>✅</w:t>
            </w:r>
          </w:p>
        </w:tc>
      </w:tr>
      <w:tr>
        <w:tc>
          <w:tcPr>
            <w:tcW w:type="dxa" w:w="1881"/>
          </w:tcPr>
          <w:p>
            <w:pPr>
              <w:spacing w:before="40" w:after="40"/>
            </w:pPr>
            <w:r>
              <w:rPr>
                <w:sz w:val="17"/>
              </w:rPr>
              <w:t>view_cart</w:t>
            </w:r>
          </w:p>
        </w:tc>
        <w:tc>
          <w:tcPr>
            <w:tcW w:type="dxa" w:w="1881"/>
          </w:tcPr>
          <w:p>
            <w:pPr>
              <w:spacing w:before="40" w:after="40"/>
            </w:pPr>
            <w:r>
              <w:rPr>
                <w:sz w:val="17"/>
              </w:rPr>
              <w:t>5 281</w:t>
            </w:r>
          </w:p>
        </w:tc>
        <w:tc>
          <w:tcPr>
            <w:tcW w:type="dxa" w:w="1881"/>
          </w:tcPr>
          <w:p>
            <w:pPr>
              <w:spacing w:before="40" w:after="40"/>
            </w:pPr>
            <w:r>
              <w:rPr>
                <w:sz w:val="17"/>
              </w:rPr>
              <w:t>16,2%</w:t>
            </w:r>
          </w:p>
        </w:tc>
        <w:tc>
          <w:tcPr>
            <w:tcW w:type="dxa" w:w="1881"/>
          </w:tcPr>
          <w:p>
            <w:pPr>
              <w:spacing w:before="40" w:after="40"/>
            </w:pPr>
            <w:r>
              <w:rPr>
                <w:sz w:val="17"/>
              </w:rPr>
              <w:t>10-30%</w:t>
            </w:r>
          </w:p>
        </w:tc>
        <w:tc>
          <w:tcPr>
            <w:tcW w:type="dxa" w:w="1881"/>
          </w:tcPr>
          <w:p>
            <w:pPr>
              <w:spacing w:before="40" w:after="40"/>
            </w:pPr>
            <w:r>
              <w:rPr>
                <w:sz w:val="17"/>
              </w:rPr>
              <w:t>✅</w:t>
            </w:r>
          </w:p>
        </w:tc>
      </w:tr>
      <w:tr>
        <w:tc>
          <w:tcPr>
            <w:tcW w:type="dxa" w:w="1881"/>
          </w:tcPr>
          <w:p>
            <w:pPr>
              <w:spacing w:before="40" w:after="40"/>
            </w:pPr>
            <w:r>
              <w:rPr>
                <w:sz w:val="17"/>
              </w:rPr>
              <w:t>begin_checkout</w:t>
            </w:r>
          </w:p>
        </w:tc>
        <w:tc>
          <w:tcPr>
            <w:tcW w:type="dxa" w:w="1881"/>
          </w:tcPr>
          <w:p>
            <w:pPr>
              <w:spacing w:before="40" w:after="40"/>
            </w:pPr>
            <w:r>
              <w:rPr>
                <w:sz w:val="17"/>
              </w:rPr>
              <w:t>1 296</w:t>
            </w:r>
          </w:p>
        </w:tc>
        <w:tc>
          <w:tcPr>
            <w:tcW w:type="dxa" w:w="1881"/>
          </w:tcPr>
          <w:p>
            <w:pPr>
              <w:spacing w:before="40" w:after="40"/>
            </w:pPr>
            <w:r>
              <w:rPr>
                <w:sz w:val="17"/>
              </w:rPr>
              <w:t>3,97% ATC→CO</w:t>
            </w:r>
          </w:p>
        </w:tc>
        <w:tc>
          <w:tcPr>
            <w:tcW w:type="dxa" w:w="1881"/>
          </w:tcPr>
          <w:p>
            <w:pPr>
              <w:spacing w:before="40" w:after="40"/>
            </w:pPr>
            <w:r>
              <w:rPr>
                <w:sz w:val="17"/>
              </w:rPr>
              <w:t>30-60%</w:t>
            </w:r>
          </w:p>
        </w:tc>
        <w:tc>
          <w:tcPr>
            <w:tcW w:type="dxa" w:w="1881"/>
          </w:tcPr>
          <w:p>
            <w:pPr>
              <w:spacing w:before="40" w:after="40"/>
            </w:pPr>
            <w:r>
              <w:rPr>
                <w:sz w:val="17"/>
              </w:rPr>
              <w:t>❌ Bardzo niski</w:t>
            </w:r>
          </w:p>
        </w:tc>
      </w:tr>
      <w:tr>
        <w:tc>
          <w:tcPr>
            <w:tcW w:type="dxa" w:w="1881"/>
          </w:tcPr>
          <w:p>
            <w:pPr>
              <w:spacing w:before="40" w:after="40"/>
            </w:pPr>
            <w:r>
              <w:rPr>
                <w:sz w:val="17"/>
              </w:rPr>
              <w:t>add_payment_info</w:t>
            </w:r>
          </w:p>
        </w:tc>
        <w:tc>
          <w:tcPr>
            <w:tcW w:type="dxa" w:w="1881"/>
          </w:tcPr>
          <w:p>
            <w:pPr>
              <w:spacing w:before="40" w:after="40"/>
            </w:pPr>
            <w:r>
              <w:rPr>
                <w:sz w:val="17"/>
              </w:rPr>
              <w:t>806</w:t>
            </w:r>
          </w:p>
        </w:tc>
        <w:tc>
          <w:tcPr>
            <w:tcW w:type="dxa" w:w="1881"/>
          </w:tcPr>
          <w:p>
            <w:pPr>
              <w:spacing w:before="40" w:after="40"/>
            </w:pPr>
            <w:r>
              <w:rPr>
                <w:sz w:val="17"/>
              </w:rPr>
              <w:t>62,2% CO→PA</w:t>
            </w:r>
          </w:p>
        </w:tc>
        <w:tc>
          <w:tcPr>
            <w:tcW w:type="dxa" w:w="1881"/>
          </w:tcPr>
          <w:p>
            <w:pPr>
              <w:spacing w:before="40" w:after="40"/>
            </w:pPr>
            <w:r>
              <w:rPr>
                <w:sz w:val="17"/>
              </w:rPr>
              <w:t>70-90%</w:t>
            </w:r>
          </w:p>
        </w:tc>
        <w:tc>
          <w:tcPr>
            <w:tcW w:type="dxa" w:w="1881"/>
          </w:tcPr>
          <w:p>
            <w:pPr>
              <w:spacing w:before="40" w:after="40"/>
            </w:pPr>
            <w:r>
              <w:rPr>
                <w:sz w:val="17"/>
              </w:rPr>
              <w:t>⚠️</w:t>
            </w:r>
          </w:p>
        </w:tc>
      </w:tr>
      <w:tr>
        <w:tc>
          <w:tcPr>
            <w:tcW w:type="dxa" w:w="1881"/>
          </w:tcPr>
          <w:p>
            <w:pPr>
              <w:spacing w:before="40" w:after="40"/>
            </w:pPr>
            <w:r>
              <w:rPr>
                <w:sz w:val="17"/>
              </w:rPr>
              <w:t>purchase (events)</w:t>
            </w:r>
          </w:p>
        </w:tc>
        <w:tc>
          <w:tcPr>
            <w:tcW w:type="dxa" w:w="1881"/>
          </w:tcPr>
          <w:p>
            <w:pPr>
              <w:spacing w:before="40" w:after="40"/>
            </w:pPr>
            <w:r>
              <w:rPr>
                <w:sz w:val="17"/>
              </w:rPr>
              <w:t>1 582</w:t>
            </w:r>
          </w:p>
        </w:tc>
        <w:tc>
          <w:tcPr>
            <w:tcW w:type="dxa" w:w="1881"/>
          </w:tcPr>
          <w:p>
            <w:pPr>
              <w:spacing w:before="40" w:after="40"/>
            </w:pPr>
            <w:r>
              <w:rPr>
                <w:sz w:val="17"/>
              </w:rPr>
              <w:t>122,1% CO→PU</w:t>
            </w:r>
          </w:p>
        </w:tc>
        <w:tc>
          <w:tcPr>
            <w:tcW w:type="dxa" w:w="1881"/>
          </w:tcPr>
          <w:p>
            <w:pPr>
              <w:spacing w:before="40" w:after="40"/>
            </w:pPr>
            <w:r>
              <w:rPr>
                <w:sz w:val="17"/>
              </w:rPr>
              <w:t>50-80%</w:t>
            </w:r>
          </w:p>
        </w:tc>
        <w:tc>
          <w:tcPr>
            <w:tcW w:type="dxa" w:w="1881"/>
          </w:tcPr>
          <w:p>
            <w:pPr>
              <w:spacing w:before="40" w:after="40"/>
            </w:pPr>
            <w:r>
              <w:rPr>
                <w:sz w:val="17"/>
              </w:rPr>
              <w:t>❌ NIEMOŻLIWE</w:t>
            </w:r>
          </w:p>
        </w:tc>
      </w:tr>
      <w:tr>
        <w:tc>
          <w:tcPr>
            <w:tcW w:type="dxa" w:w="1881"/>
          </w:tcPr>
          <w:p>
            <w:pPr>
              <w:spacing w:before="40" w:after="40"/>
            </w:pPr>
            <w:r>
              <w:rPr>
                <w:sz w:val="17"/>
              </w:rPr>
              <w:t>transactions</w:t>
            </w:r>
          </w:p>
        </w:tc>
        <w:tc>
          <w:tcPr>
            <w:tcW w:type="dxa" w:w="1881"/>
          </w:tcPr>
          <w:p>
            <w:pPr>
              <w:spacing w:before="40" w:after="40"/>
            </w:pPr>
            <w:r>
              <w:rPr>
                <w:sz w:val="17"/>
              </w:rPr>
              <w:t>413</w:t>
            </w:r>
          </w:p>
        </w:tc>
        <w:tc>
          <w:tcPr>
            <w:tcW w:type="dxa" w:w="1881"/>
          </w:tcPr>
          <w:p>
            <w:pPr>
              <w:spacing w:before="40" w:after="40"/>
            </w:pPr>
            <w:r>
              <w:rPr>
                <w:sz w:val="17"/>
              </w:rPr>
              <w:t>31,9% CO→TRX</w:t>
            </w:r>
          </w:p>
        </w:tc>
        <w:tc>
          <w:tcPr>
            <w:tcW w:type="dxa" w:w="1881"/>
          </w:tcPr>
          <w:p>
            <w:pPr>
              <w:spacing w:before="40" w:after="40"/>
            </w:pPr>
            <w:r>
              <w:rPr>
                <w:sz w:val="17"/>
              </w:rPr>
              <w:t>50-80%</w:t>
            </w:r>
          </w:p>
        </w:tc>
        <w:tc>
          <w:tcPr>
            <w:tcW w:type="dxa" w:w="1881"/>
          </w:tcPr>
          <w:p>
            <w:pPr>
              <w:spacing w:before="40" w:after="40"/>
            </w:pPr>
            <w:r>
              <w:rPr>
                <w:sz w:val="17"/>
              </w:rPr>
              <w:t>❌</w:t>
            </w:r>
          </w:p>
        </w:tc>
      </w:tr>
    </w:tbl>
    <w:p/>
    <w:p>
      <w:pPr>
        <w:spacing w:after="80"/>
      </w:pPr>
      <w:r>
        <w:rPr>
          <w:sz w:val="20"/>
        </w:rPr>
        <w:t>Krok add_to_cart → begin_checkout = 3,97% (32 652 → 1 296) jest drastycznie poniżej benchmarku 30-60%. Oznacza to że tylko 4 z 100 klientów którzy dodali produkt do koszyka przechodzi do realizacji zamówienia. Możliwe przyczyny:</w:t>
      </w:r>
    </w:p>
    <w:p>
      <w:pPr>
        <w:pStyle w:val="ListBullet"/>
        <w:spacing w:after="40"/>
        <w:ind w:left="283"/>
      </w:pPr>
      <w:r>
        <w:rPr>
          <w:sz w:val="20"/>
        </w:rPr>
        <w:t>Koszyk niewidoczny lub trudny w użyciu</w:t>
      </w:r>
    </w:p>
    <w:p>
      <w:pPr>
        <w:pStyle w:val="ListBullet"/>
        <w:spacing w:after="40"/>
        <w:ind w:left="283"/>
      </w:pPr>
      <w:r>
        <w:rPr>
          <w:sz w:val="20"/>
        </w:rPr>
        <w:t>Begin_checkout nie odpalany na właściwym etapie (zbyt późno w procesie)</w:t>
      </w:r>
    </w:p>
    <w:p>
      <w:pPr>
        <w:pStyle w:val="ListBullet"/>
        <w:spacing w:after="40"/>
        <w:ind w:left="283"/>
      </w:pPr>
      <w:r>
        <w:rPr>
          <w:sz w:val="20"/>
        </w:rPr>
        <w:t>Klienci porzucają koszyk i wracają do zakupów przez inne kanały</w:t>
      </w:r>
    </w:p>
    <w:p>
      <w:pPr>
        <w:pStyle w:val="ListBullet"/>
        <w:spacing w:after="40"/>
        <w:ind w:left="283"/>
      </w:pPr>
      <w:r>
        <w:rPr>
          <w:sz w:val="20"/>
        </w:rPr>
        <w:t>Usterka w triggerze GTM dla begin_checkout</w:t>
      </w:r>
    </w:p>
    <w:p>
      <w:pPr>
        <w:spacing w:after="80"/>
      </w:pPr>
      <w:r>
        <w:rPr>
          <w:sz w:val="20"/>
        </w:rPr>
      </w:r>
      <w:r>
        <w:rPr>
          <w:b/>
          <w:sz w:val="20"/>
        </w:rPr>
        <w:t>Struktura ruchu — kanały:</w:t>
      </w:r>
      <w:r>
        <w:rPr>
          <w:sz w:val="20"/>
        </w:rP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Kanał</w:t>
            </w:r>
          </w:p>
        </w:tc>
        <w:tc>
          <w:tcPr>
            <w:tcW w:type="dxa" w:w="1881"/>
            <w:shd w:val="clear" w:color="auto" w:fill="1a1a2e"/>
          </w:tcPr>
          <w:p>
            <w:pPr>
              <w:spacing w:before="40" w:after="40"/>
            </w:pPr>
            <w:r>
              <w:rPr>
                <w:b/>
                <w:color w:val="FFFFFF"/>
                <w:sz w:val="17"/>
              </w:rPr>
              <w:t>Sesje</w:t>
            </w:r>
          </w:p>
        </w:tc>
        <w:tc>
          <w:tcPr>
            <w:tcW w:type="dxa" w:w="1881"/>
            <w:shd w:val="clear" w:color="auto" w:fill="1a1a2e"/>
          </w:tcPr>
          <w:p>
            <w:pPr>
              <w:spacing w:before="40" w:after="40"/>
            </w:pPr>
            <w:r>
              <w:rPr>
                <w:b/>
                <w:color w:val="FFFFFF"/>
                <w:sz w:val="17"/>
              </w:rPr>
              <w:t>%</w:t>
            </w:r>
          </w:p>
        </w:tc>
        <w:tc>
          <w:tcPr>
            <w:tcW w:type="dxa" w:w="1881"/>
            <w:shd w:val="clear" w:color="auto" w:fill="1a1a2e"/>
          </w:tcPr>
          <w:p>
            <w:pPr>
              <w:spacing w:before="40" w:after="40"/>
            </w:pPr>
            <w:r>
              <w:rPr>
                <w:b/>
                <w:color w:val="FFFFFF"/>
                <w:sz w:val="17"/>
              </w:rPr>
              <w:t>CR (ecommPurch)</w:t>
            </w:r>
          </w:p>
        </w:tc>
        <w:tc>
          <w:tcPr>
            <w:tcW w:type="dxa" w:w="1881"/>
            <w:shd w:val="clear" w:color="auto" w:fill="1a1a2e"/>
          </w:tcPr>
          <w:p>
            <w:pPr>
              <w:spacing w:before="40" w:after="40"/>
            </w:pPr>
            <w:r>
              <w:rPr>
                <w:b/>
                <w:color w:val="FFFFFF"/>
                <w:sz w:val="17"/>
              </w:rPr>
              <w:t>Avg Duration</w:t>
            </w:r>
          </w:p>
        </w:tc>
      </w:tr>
      <w:tr>
        <w:tc>
          <w:tcPr>
            <w:tcW w:type="dxa" w:w="1881"/>
          </w:tcPr>
          <w:p>
            <w:pPr>
              <w:spacing w:before="40" w:after="40"/>
            </w:pPr>
            <w:r>
              <w:rPr>
                <w:sz w:val="17"/>
              </w:rPr>
              <w:t>Cross-network (PMax)</w:t>
            </w:r>
          </w:p>
        </w:tc>
        <w:tc>
          <w:tcPr>
            <w:tcW w:type="dxa" w:w="1881"/>
          </w:tcPr>
          <w:p>
            <w:pPr>
              <w:spacing w:before="40" w:after="40"/>
            </w:pPr>
            <w:r>
              <w:rPr>
                <w:sz w:val="17"/>
              </w:rPr>
              <w:t>125 584</w:t>
            </w:r>
          </w:p>
        </w:tc>
        <w:tc>
          <w:tcPr>
            <w:tcW w:type="dxa" w:w="1881"/>
          </w:tcPr>
          <w:p>
            <w:pPr>
              <w:spacing w:before="40" w:after="40"/>
            </w:pPr>
            <w:r>
              <w:rPr>
                <w:sz w:val="17"/>
              </w:rPr>
              <w:t>39,2%</w:t>
            </w:r>
          </w:p>
        </w:tc>
        <w:tc>
          <w:tcPr>
            <w:tcW w:type="dxa" w:w="1881"/>
          </w:tcPr>
          <w:p>
            <w:pPr>
              <w:spacing w:before="40" w:after="40"/>
            </w:pPr>
            <w:r>
              <w:rPr>
                <w:sz w:val="17"/>
              </w:rPr>
              <w:t>0,20%</w:t>
            </w:r>
          </w:p>
        </w:tc>
        <w:tc>
          <w:tcPr>
            <w:tcW w:type="dxa" w:w="1881"/>
          </w:tcPr>
          <w:p>
            <w:pPr>
              <w:spacing w:before="40" w:after="40"/>
            </w:pPr>
            <w:r>
              <w:rPr>
                <w:sz w:val="17"/>
              </w:rPr>
              <w:t>5:52</w:t>
            </w:r>
          </w:p>
        </w:tc>
      </w:tr>
      <w:tr>
        <w:tc>
          <w:tcPr>
            <w:tcW w:type="dxa" w:w="1881"/>
          </w:tcPr>
          <w:p>
            <w:pPr>
              <w:spacing w:before="40" w:after="40"/>
            </w:pPr>
            <w:r>
              <w:rPr>
                <w:sz w:val="17"/>
              </w:rPr>
              <w:t>Organic Search</w:t>
            </w:r>
          </w:p>
        </w:tc>
        <w:tc>
          <w:tcPr>
            <w:tcW w:type="dxa" w:w="1881"/>
          </w:tcPr>
          <w:p>
            <w:pPr>
              <w:spacing w:before="40" w:after="40"/>
            </w:pPr>
            <w:r>
              <w:rPr>
                <w:sz w:val="17"/>
              </w:rPr>
              <w:t>79 134</w:t>
            </w:r>
          </w:p>
        </w:tc>
        <w:tc>
          <w:tcPr>
            <w:tcW w:type="dxa" w:w="1881"/>
          </w:tcPr>
          <w:p>
            <w:pPr>
              <w:spacing w:before="40" w:after="40"/>
            </w:pPr>
            <w:r>
              <w:rPr>
                <w:sz w:val="17"/>
              </w:rPr>
              <w:t>24,7%</w:t>
            </w:r>
          </w:p>
        </w:tc>
        <w:tc>
          <w:tcPr>
            <w:tcW w:type="dxa" w:w="1881"/>
          </w:tcPr>
          <w:p>
            <w:pPr>
              <w:spacing w:before="40" w:after="40"/>
            </w:pPr>
            <w:r>
              <w:rPr>
                <w:sz w:val="17"/>
              </w:rPr>
              <w:t>0,82%</w:t>
            </w:r>
          </w:p>
        </w:tc>
        <w:tc>
          <w:tcPr>
            <w:tcW w:type="dxa" w:w="1881"/>
          </w:tcPr>
          <w:p>
            <w:pPr>
              <w:spacing w:before="40" w:after="40"/>
            </w:pPr>
            <w:r>
              <w:rPr>
                <w:sz w:val="17"/>
              </w:rPr>
              <w:t>21:42</w:t>
            </w:r>
          </w:p>
        </w:tc>
      </w:tr>
      <w:tr>
        <w:tc>
          <w:tcPr>
            <w:tcW w:type="dxa" w:w="1881"/>
          </w:tcPr>
          <w:p>
            <w:pPr>
              <w:spacing w:before="40" w:after="40"/>
            </w:pPr>
            <w:r>
              <w:rPr>
                <w:sz w:val="17"/>
              </w:rPr>
              <w:t>Paid Social</w:t>
            </w:r>
          </w:p>
        </w:tc>
        <w:tc>
          <w:tcPr>
            <w:tcW w:type="dxa" w:w="1881"/>
          </w:tcPr>
          <w:p>
            <w:pPr>
              <w:spacing w:before="40" w:after="40"/>
            </w:pPr>
            <w:r>
              <w:rPr>
                <w:sz w:val="17"/>
              </w:rPr>
              <w:t>57 699</w:t>
            </w:r>
          </w:p>
        </w:tc>
        <w:tc>
          <w:tcPr>
            <w:tcW w:type="dxa" w:w="1881"/>
          </w:tcPr>
          <w:p>
            <w:pPr>
              <w:spacing w:before="40" w:after="40"/>
            </w:pPr>
            <w:r>
              <w:rPr>
                <w:sz w:val="17"/>
              </w:rPr>
              <w:t>18,0%</w:t>
            </w:r>
          </w:p>
        </w:tc>
        <w:tc>
          <w:tcPr>
            <w:tcW w:type="dxa" w:w="1881"/>
          </w:tcPr>
          <w:p>
            <w:pPr>
              <w:spacing w:before="40" w:after="40"/>
            </w:pPr>
            <w:r>
              <w:rPr>
                <w:sz w:val="17"/>
              </w:rPr>
              <w:t>0,32%</w:t>
            </w:r>
          </w:p>
        </w:tc>
        <w:tc>
          <w:tcPr>
            <w:tcW w:type="dxa" w:w="1881"/>
          </w:tcPr>
          <w:p>
            <w:pPr>
              <w:spacing w:before="40" w:after="40"/>
            </w:pPr>
            <w:r>
              <w:rPr>
                <w:sz w:val="17"/>
              </w:rPr>
              <w:t>12:01</w:t>
            </w:r>
          </w:p>
        </w:tc>
      </w:tr>
      <w:tr>
        <w:tc>
          <w:tcPr>
            <w:tcW w:type="dxa" w:w="1881"/>
          </w:tcPr>
          <w:p>
            <w:pPr>
              <w:spacing w:before="40" w:after="40"/>
            </w:pPr>
            <w:r>
              <w:rPr>
                <w:sz w:val="17"/>
              </w:rPr>
              <w:t>Email</w:t>
            </w:r>
          </w:p>
        </w:tc>
        <w:tc>
          <w:tcPr>
            <w:tcW w:type="dxa" w:w="1881"/>
          </w:tcPr>
          <w:p>
            <w:pPr>
              <w:spacing w:before="40" w:after="40"/>
            </w:pPr>
            <w:r>
              <w:rPr>
                <w:sz w:val="17"/>
              </w:rPr>
              <w:t>17 470</w:t>
            </w:r>
          </w:p>
        </w:tc>
        <w:tc>
          <w:tcPr>
            <w:tcW w:type="dxa" w:w="1881"/>
          </w:tcPr>
          <w:p>
            <w:pPr>
              <w:spacing w:before="40" w:after="40"/>
            </w:pPr>
            <w:r>
              <w:rPr>
                <w:sz w:val="17"/>
              </w:rPr>
              <w:t>5,5%</w:t>
            </w:r>
          </w:p>
        </w:tc>
        <w:tc>
          <w:tcPr>
            <w:tcW w:type="dxa" w:w="1881"/>
          </w:tcPr>
          <w:p>
            <w:pPr>
              <w:spacing w:before="40" w:after="40"/>
            </w:pPr>
            <w:r>
              <w:rPr>
                <w:sz w:val="17"/>
              </w:rPr>
              <w:t>1,02%</w:t>
            </w:r>
          </w:p>
        </w:tc>
        <w:tc>
          <w:tcPr>
            <w:tcW w:type="dxa" w:w="1881"/>
          </w:tcPr>
          <w:p>
            <w:pPr>
              <w:spacing w:before="40" w:after="40"/>
            </w:pPr>
            <w:r>
              <w:rPr>
                <w:sz w:val="17"/>
              </w:rPr>
              <w:t>32:23</w:t>
            </w:r>
          </w:p>
        </w:tc>
      </w:tr>
      <w:tr>
        <w:tc>
          <w:tcPr>
            <w:tcW w:type="dxa" w:w="1881"/>
          </w:tcPr>
          <w:p>
            <w:pPr>
              <w:spacing w:before="40" w:after="40"/>
            </w:pPr>
            <w:r>
              <w:rPr>
                <w:sz w:val="17"/>
              </w:rPr>
              <w:t>Direct</w:t>
            </w:r>
          </w:p>
        </w:tc>
        <w:tc>
          <w:tcPr>
            <w:tcW w:type="dxa" w:w="1881"/>
          </w:tcPr>
          <w:p>
            <w:pPr>
              <w:spacing w:before="40" w:after="40"/>
            </w:pPr>
            <w:r>
              <w:rPr>
                <w:sz w:val="17"/>
              </w:rPr>
              <w:t>16 366</w:t>
            </w:r>
          </w:p>
        </w:tc>
        <w:tc>
          <w:tcPr>
            <w:tcW w:type="dxa" w:w="1881"/>
          </w:tcPr>
          <w:p>
            <w:pPr>
              <w:spacing w:before="40" w:after="40"/>
            </w:pPr>
            <w:r>
              <w:rPr>
                <w:sz w:val="17"/>
              </w:rPr>
              <w:t>5,1%</w:t>
            </w:r>
          </w:p>
        </w:tc>
        <w:tc>
          <w:tcPr>
            <w:tcW w:type="dxa" w:w="1881"/>
          </w:tcPr>
          <w:p>
            <w:pPr>
              <w:spacing w:before="40" w:after="40"/>
            </w:pPr>
            <w:r>
              <w:rPr>
                <w:sz w:val="17"/>
              </w:rPr>
              <w:t>0,75%</w:t>
            </w:r>
          </w:p>
        </w:tc>
        <w:tc>
          <w:tcPr>
            <w:tcW w:type="dxa" w:w="1881"/>
          </w:tcPr>
          <w:p>
            <w:pPr>
              <w:spacing w:before="40" w:after="40"/>
            </w:pPr>
            <w:r>
              <w:rPr>
                <w:sz w:val="17"/>
              </w:rPr>
              <w:t>26:46</w:t>
            </w:r>
          </w:p>
        </w:tc>
      </w:tr>
    </w:tbl>
    <w:p/>
    <w:p>
      <w:pPr>
        <w:spacing w:after="80"/>
      </w:pPr>
      <w:r>
        <w:rPr>
          <w:sz w:val="20"/>
        </w:rPr>
        <w:t>Dominacja Cross-network (39% ruchu) z bardzo niskim zaangażowaniem (5:52 avg duration, CR 0,20%) sugeruje że kampanie PMax przyciągają ruch słabej jakości lub są skierowane na zbyt szerokie audience. Email marketing wykazuje najwyższy CR (1,02%) przy solidnej liczbie sesji (17 470) — to kanał wymagający skalowania.</w:t>
      </w:r>
    </w:p>
    <w:p>
      <w:pPr>
        <w:spacing w:after="80"/>
      </w:pPr>
    </w:p>
    <w:p>
      <w:pPr>
        <w:spacing w:before="120" w:after="80"/>
      </w:pPr>
      <w:r>
        <w:rPr>
          <w:b/>
          <w:color w:val="0F3D66"/>
          <w:sz w:val="22"/>
        </w:rPr>
        <w:t>SEKCJA 5 — UTM (13/18 pkt = 72% ⚠️)</w:t>
      </w:r>
    </w:p>
    <w:p>
      <w:pPr>
        <w:spacing w:before="120" w:after="80"/>
      </w:pPr>
      <w:r>
        <w:rPr>
          <w:b/>
          <w:color w:val="206080"/>
          <w:sz w:val="20"/>
        </w:rPr>
        <w:t>Co sprawdzamy i dlaczego</w:t>
      </w:r>
    </w:p>
    <w:p>
      <w:pPr>
        <w:spacing w:after="80"/>
      </w:pPr>
      <w:r>
        <w:rPr>
          <w:sz w:val="20"/>
        </w:rPr>
        <w:t>UTM (Urchin Tracking Module) to "metki" przyklejane do linków reklamowych, które pozwalają GA4 zidentyfikować skąd pochodzi każdy użytkownik. Bez prawidłowych UTM-ów nie wiemy czy klient przyszedł z reklamy Facebook, emaila czy posta organicznego. To bezpośrednio wpływa na możliwość obliczenia ROI każdego kanału marketingowego i podejmowania decyzji budżetowych.</w:t>
      </w:r>
    </w:p>
    <w:p>
      <w:pPr>
        <w:spacing w:before="120" w:after="80"/>
      </w:pPr>
      <w:r>
        <w:rPr>
          <w:b/>
          <w:color w:val="206080"/>
          <w:sz w:val="20"/>
        </w:rPr>
        <w:t>Kluczowe ustalenia</w:t>
      </w:r>
    </w:p>
    <w:p>
      <w:pPr>
        <w:spacing w:after="80"/>
      </w:pPr>
      <w:r>
        <w:rPr>
          <w:sz w:val="20"/>
        </w:rPr>
      </w:r>
      <w:r>
        <w:rPr>
          <w:b/>
          <w:sz w:val="20"/>
        </w:rPr>
        <w:t>Co działa poprawnie:</w:t>
      </w:r>
      <w:r>
        <w:rPr>
          <w:sz w:val="20"/>
        </w:rPr>
      </w:r>
    </w:p>
    <w:p>
      <w:pPr>
        <w:pStyle w:val="ListBullet"/>
        <w:spacing w:after="40"/>
        <w:ind w:left="283"/>
      </w:pPr>
      <w:r>
        <w:rPr>
          <w:sz w:val="20"/>
        </w:rPr>
      </w:r>
      <w:r>
        <w:rPr>
          <w:b/>
          <w:sz w:val="20"/>
        </w:rPr>
        <w:t>Google Ads</w:t>
      </w:r>
      <w:r>
        <w:rPr>
          <w:sz w:val="20"/>
        </w:rPr>
        <w:t>: google/cpc = 132 384 sesji — kampanie Google Ads mają poprawne UTM. Ruch płatny Google jest identyfikowalny i atrybuowalny.</w:t>
      </w:r>
    </w:p>
    <w:p>
      <w:pPr>
        <w:pStyle w:val="ListBullet"/>
        <w:spacing w:after="40"/>
        <w:ind w:left="283"/>
      </w:pPr>
      <w:r>
        <w:rPr>
          <w:sz w:val="20"/>
        </w:rPr>
      </w:r>
      <w:r>
        <w:rPr>
          <w:b/>
          <w:sz w:val="20"/>
        </w:rPr>
        <w:t>Email (eDrone)</w:t>
      </w:r>
      <w:r>
        <w:rPr>
          <w:sz w:val="20"/>
        </w:rPr>
        <w:t>: edrone/email = 17 457 sesji — eDrone prawidłowo taguje linki emailowe. Atrybuacja email marketingu działa.</w:t>
      </w:r>
    </w:p>
    <w:p>
      <w:pPr>
        <w:pStyle w:val="ListBullet"/>
        <w:spacing w:after="40"/>
        <w:ind w:left="283"/>
      </w:pPr>
      <w:r>
        <w:rPr>
          <w:sz w:val="20"/>
        </w:rPr>
      </w:r>
      <w:r>
        <w:rPr>
          <w:b/>
          <w:sz w:val="20"/>
        </w:rPr>
        <w:t>Google Maps/GMB</w:t>
      </w:r>
      <w:r>
        <w:rPr>
          <w:sz w:val="20"/>
        </w:rPr>
        <w:t>: google/maps = 540 sesji — wizytówka Google Business Profile jest identyfikowalna. Rzadko spotykane, dobrze.</w:t>
      </w:r>
    </w:p>
    <w:p>
      <w:pPr>
        <w:pStyle w:val="ListBullet"/>
        <w:spacing w:after="40"/>
        <w:ind w:left="283"/>
      </w:pPr>
      <w:r>
        <w:rPr>
          <w:sz w:val="20"/>
        </w:rPr>
      </w:r>
      <w:r>
        <w:rPr>
          <w:b/>
          <w:sz w:val="20"/>
        </w:rPr>
        <w:t>Facebook Ads</w:t>
      </w:r>
      <w:r>
        <w:rPr>
          <w:sz w:val="20"/>
        </w:rPr>
        <w:t>: facebook/cpc = 57 699 sesji — kampanie płatne Meta mają UTM.</w:t>
      </w:r>
    </w:p>
    <w:p>
      <w:pPr>
        <w:spacing w:after="80"/>
      </w:pPr>
      <w:r>
        <w:rPr>
          <w:sz w:val="20"/>
        </w:rPr>
      </w:r>
      <w:r>
        <w:rPr>
          <w:b/>
          <w:sz w:val="20"/>
        </w:rPr>
        <w:t>Problemy:</w:t>
      </w:r>
      <w:r>
        <w:rPr>
          <w:sz w:val="20"/>
        </w:rPr>
      </w:r>
    </w:p>
    <w:p>
      <w:pPr>
        <w:spacing w:after="80"/>
      </w:pPr>
      <w:r>
        <w:rPr>
          <w:sz w:val="20"/>
        </w:rPr>
      </w:r>
      <w:r>
        <w:rPr>
          <w:b/>
          <w:sz w:val="20"/>
        </w:rPr>
        <w:t>Fragmentacja Meta — 6 wariantów zamiast max 2:</w:t>
      </w:r>
      <w:r>
        <w:rPr>
          <w:sz w:val="20"/>
        </w:rPr>
      </w:r>
    </w:p>
    <w:p>
      <w:pPr>
        <w:ind w:left="567"/>
      </w:pPr>
      <w:r>
        <w:rPr>
          <w:rFonts w:ascii="Courier New" w:hAnsi="Courier New"/>
          <w:sz w:val="16"/>
        </w:rPr>
        <w:t>facebook / cpc          57 699 sesji  ✅ (kampanie z UTM)</w:t>
      </w:r>
    </w:p>
    <w:p>
      <w:pPr>
        <w:ind w:left="567"/>
      </w:pPr>
      <w:r>
        <w:rPr>
          <w:rFonts w:ascii="Courier New" w:hAnsi="Courier New"/>
          <w:sz w:val="16"/>
        </w:rPr>
        <w:t>m.facebook.com/referral  1 722 sesji  ❌ (mobile bez UTM)</w:t>
      </w:r>
    </w:p>
    <w:p>
      <w:pPr>
        <w:ind w:left="567"/>
      </w:pPr>
      <w:r>
        <w:rPr>
          <w:rFonts w:ascii="Courier New" w:hAnsi="Courier New"/>
          <w:sz w:val="16"/>
        </w:rPr>
        <w:t>l.facebook.com/referral    690 sesji  ❌ (link preview)</w:t>
      </w:r>
    </w:p>
    <w:p>
      <w:pPr>
        <w:ind w:left="567"/>
      </w:pPr>
      <w:r>
        <w:rPr>
          <w:rFonts w:ascii="Courier New" w:hAnsi="Courier New"/>
          <w:sz w:val="16"/>
        </w:rPr>
        <w:t>lm.facebook.com/referral   381 sesji  ❌ (link preview mobile)</w:t>
      </w:r>
    </w:p>
    <w:p>
      <w:pPr>
        <w:ind w:left="567"/>
      </w:pPr>
      <w:r>
        <w:rPr>
          <w:rFonts w:ascii="Courier New" w:hAnsi="Courier New"/>
          <w:sz w:val="16"/>
        </w:rPr>
        <w:t>facebook / referral        363 sesji  ❌ (kliknięcia bez UTM)</w:t>
      </w:r>
    </w:p>
    <w:p>
      <w:pPr>
        <w:ind w:left="567"/>
      </w:pPr>
      <w:r>
        <w:rPr>
          <w:rFonts w:ascii="Courier New" w:hAnsi="Courier New"/>
          <w:sz w:val="16"/>
        </w:rPr>
        <w:t>facebook.com / referral     86 sesji  ❌ (bez UTM)</w:t>
      </w:r>
    </w:p>
    <w:p>
      <w:pPr>
        <w:spacing w:after="80"/>
      </w:pPr>
      <w:r>
        <w:rPr>
          <w:sz w:val="20"/>
        </w:rPr>
        <w:t>Razem</w:t>
      </w:r>
      <w:r>
        <w:rPr>
          <w:b/>
          <w:sz w:val="20"/>
        </w:rPr>
        <w:t>3 242 sesji Meta bez UTM</w:t>
      </w:r>
      <w:r>
        <w:rPr>
          <w:sz w:val="20"/>
        </w:rPr>
        <w:t>(5,3% ruchu Meta). GA4 traktuje je jako 5 różnych źródeł, co zaniża mierzone metryki kampanii Facebook Ads.</w:t>
      </w:r>
    </w:p>
    <w:p>
      <w:pPr>
        <w:spacing w:after="80"/>
      </w:pPr>
      <w:r>
        <w:rPr>
          <w:sz w:val="20"/>
        </w:rPr>
      </w:r>
      <w:r>
        <w:rPr>
          <w:b/>
          <w:sz w:val="20"/>
        </w:rPr>
        <w:t>SMS channel — problem z revenue:</w:t>
      </w:r>
      <w:r>
        <w:rPr>
          <w:sz w:val="20"/>
        </w:rPr>
      </w:r>
    </w:p>
    <w:p>
      <w:pPr>
        <w:spacing w:after="80"/>
      </w:pPr>
      <w:r>
        <w:rPr>
          <w:sz w:val="20"/>
        </w:rPr>
        <w:t>sms/smsapi = 1 735 sesji, 5 purchases, revenue = 0 PLN. UTM jest prawidłowy (identyfikujemy kanał SMS), jednak system e-commerce nie przekazuje wartości zamówień dla sesji oznaczonych tym kanałem. Problem leży w tracking purchase, nie w UTM.</w:t>
      </w:r>
    </w:p>
    <w:p>
      <w:pPr>
        <w:spacing w:after="80"/>
      </w:pPr>
    </w:p>
    <w:p>
      <w:pPr>
        <w:spacing w:before="120" w:after="80"/>
      </w:pPr>
      <w:r>
        <w:rPr>
          <w:b/>
          <w:color w:val="0F3D66"/>
          <w:sz w:val="22"/>
        </w:rPr>
        <w:t>SEKCJA 7 — Lejki zakupowe (3/8 pkt = 38% ❌)</w:t>
      </w:r>
    </w:p>
    <w:p>
      <w:pPr>
        <w:spacing w:before="120" w:after="80"/>
      </w:pPr>
      <w:r>
        <w:rPr>
          <w:b/>
          <w:color w:val="206080"/>
          <w:sz w:val="20"/>
        </w:rPr>
        <w:t>Co sprawdzamy i dlaczego</w:t>
      </w:r>
    </w:p>
    <w:p>
      <w:pPr>
        <w:spacing w:after="80"/>
      </w:pPr>
      <w:r>
        <w:rPr>
          <w:sz w:val="20"/>
        </w:rPr>
        <w:t>Analiza lejków zakupowych to spojrzenie na "podróż klienta" od wejścia na stronę do finalizacji zakupu. Każdy etap (przeglądanie produktów → dodanie do koszyka → realizacja zamówienia → zakup) powinien mieć naturalną liczbę użytkowników — każdy kolejny krok musi być mniejszy od poprzedniego. Anomalie w lejku wskazują na problemy z UX, błędy w implementacji śledzenia lub źródła niejakościowego ruchu.</w:t>
      </w:r>
    </w:p>
    <w:p>
      <w:pPr>
        <w:spacing w:before="120" w:after="80"/>
      </w:pPr>
      <w:r>
        <w:rPr>
          <w:b/>
          <w:color w:val="206080"/>
          <w:sz w:val="20"/>
        </w:rPr>
        <w:t>Kluczowe ustalenia</w:t>
      </w:r>
    </w:p>
    <w:p>
      <w:pPr>
        <w:spacing w:after="80"/>
      </w:pPr>
      <w:r>
        <w:rPr>
          <w:sz w:val="20"/>
        </w:rPr>
      </w:r>
      <w:r>
        <w:rPr>
          <w:b/>
          <w:sz w:val="20"/>
        </w:rPr>
        <w:t>Anomalia 1: purchase &gt; begin_checkout (122.1%)</w:t>
      </w:r>
      <w:r>
        <w:rPr>
          <w:sz w:val="20"/>
        </w:rPr>
      </w:r>
    </w:p>
    <w:p>
      <w:pPr>
        <w:spacing w:after="80"/>
      </w:pPr>
      <w:r>
        <w:rPr>
          <w:sz w:val="20"/>
        </w:rPr>
        <w:t>Matematycznie niemożliwe aby więcej osób dokonało zakupu niż zaczęło proces realizacji zamówienia. Wynik 122.1% potwierdza że zdarzenie purchase odpala się wielokrotnie per transakcję — np. przy każdym odświeżeniu strony potwierdzenia, lub przez oba tagi GA4 (hardcoded + GTM). To główny dowód na duplikację.</w:t>
      </w:r>
    </w:p>
    <w:p>
      <w:pPr>
        <w:spacing w:after="80"/>
      </w:pPr>
      <w:r>
        <w:rPr>
          <w:sz w:val="20"/>
        </w:rPr>
      </w:r>
      <w:r>
        <w:rPr>
          <w:b/>
          <w:sz w:val="20"/>
        </w:rPr>
        <w:t>Anomalia 2: add_shipping_info &gt; begin_checkout (2131 &gt; 1296)</w:t>
      </w:r>
      <w:r>
        <w:rPr>
          <w:sz w:val="20"/>
        </w:rPr>
      </w:r>
    </w:p>
    <w:p>
      <w:pPr>
        <w:spacing w:after="80"/>
      </w:pPr>
      <w:r>
        <w:rPr>
          <w:sz w:val="20"/>
        </w:rPr>
        <w:t>Zdarzenie add_shipping_info (wybór metody dostawy) pojawia się w liczbie wyższej niż begin_checkout (wejście w checkout). To logicznie niemożliwe w prawidłowym lejku. Możliwa przyczyna: trigger dla add_shipping_info odpala się poza procesem checkout (np. na stronie koszyka przy każdym wyborze opcji) lub begin_checkout jest zbyt późno rejestrowany.</w:t>
      </w:r>
    </w:p>
    <w:p>
      <w:pPr>
        <w:spacing w:after="80"/>
      </w:pPr>
      <w:r>
        <w:rPr>
          <w:sz w:val="20"/>
        </w:rPr>
      </w:r>
      <w:r>
        <w:rPr>
          <w:b/>
          <w:sz w:val="20"/>
        </w:rPr>
        <w:t>Drop-off checkout (tylko 31.9% kończy zakup):</w:t>
      </w:r>
      <w:r>
        <w:rPr>
          <w:sz w:val="20"/>
        </w:rPr>
      </w:r>
    </w:p>
    <w:p>
      <w:pPr>
        <w:spacing w:after="80"/>
      </w:pPr>
      <w:r>
        <w:rPr>
          <w:sz w:val="20"/>
        </w:rPr>
        <w:t>Używając wiarygodnej metryki transactions (413) vs begin_checkout (1 296): tylko</w:t>
      </w:r>
      <w:r>
        <w:rPr>
          <w:b/>
          <w:sz w:val="20"/>
        </w:rPr>
        <w:t>31.9% klientów który zaczął checkout dokonuje zakupu</w:t>
      </w:r>
      <w:r>
        <w:rPr>
          <w:sz w:val="20"/>
        </w:rPr>
        <w:t>(benchmark: 50-80%). Co się stało z 68.1% (883 klientów)?</w:t>
      </w:r>
    </w:p>
    <w:p>
      <w:pPr>
        <w:spacing w:after="80"/>
      </w:pPr>
      <w:r>
        <w:rPr>
          <w:sz w:val="20"/>
        </w:rPr>
        <w:t>Możliwe przyczyny:</w:t>
      </w:r>
    </w:p>
    <w:p>
      <w:pPr>
        <w:pStyle w:val="ListNumber"/>
        <w:spacing w:after="40"/>
        <w:ind w:left="283"/>
      </w:pPr>
      <w:r>
        <w:rPr>
          <w:sz w:val="20"/>
        </w:rPr>
        <w:t>Problem z UX procesu zamówienia (zbyt wiele kroków, brak preferred payment methods)</w:t>
      </w:r>
    </w:p>
    <w:p>
      <w:pPr>
        <w:pStyle w:val="ListNumber"/>
        <w:spacing w:after="40"/>
        <w:ind w:left="283"/>
      </w:pPr>
      <w:r>
        <w:rPr>
          <w:sz w:val="20"/>
        </w:rPr>
        <w:t>Problemy techniczne z bramką Klarna</w:t>
      </w:r>
    </w:p>
    <w:p>
      <w:pPr>
        <w:pStyle w:val="ListNumber"/>
        <w:spacing w:after="40"/>
        <w:ind w:left="283"/>
      </w:pPr>
      <w:r>
        <w:rPr>
          <w:sz w:val="20"/>
        </w:rPr>
        <w:t>Wymagana rejestracja konta przed zakupem (checkout guest może być trudny)</w:t>
      </w:r>
    </w:p>
    <w:p>
      <w:pPr>
        <w:pStyle w:val="ListNumber"/>
        <w:spacing w:after="40"/>
        <w:ind w:left="283"/>
      </w:pPr>
      <w:r>
        <w:rPr>
          <w:sz w:val="20"/>
        </w:rPr>
        <w:t>Koszty dostawy widoczne dopiero w checkout (surprise shipping cost)</w:t>
      </w:r>
    </w:p>
    <w:p>
      <w:pPr>
        <w:pStyle w:val="ListNumber"/>
        <w:spacing w:after="40"/>
        <w:ind w:left="283"/>
      </w:pPr>
      <w:r>
        <w:rPr>
          <w:sz w:val="20"/>
        </w:rPr>
        <w:t>Brak zaufanych metod płatności</w:t>
      </w:r>
    </w:p>
    <w:p>
      <w:pPr>
        <w:spacing w:after="80"/>
      </w:pPr>
      <w:r>
        <w:rPr>
          <w:sz w:val="20"/>
        </w:rPr>
        <w:t>Przy obecnym revenue 515 556 PLN/msc: jeśli checkout drop-off poprawimy z 68% do 50% (realny cel), przychód wzrośnie proporcjonalnie o ~24% =</w:t>
      </w:r>
      <w:r>
        <w:rPr>
          <w:b/>
          <w:sz w:val="20"/>
        </w:rPr>
        <w:t>+123 000 PLN/msc</w:t>
      </w:r>
      <w:r>
        <w:rPr>
          <w:sz w:val="20"/>
        </w:rPr>
        <w:t>.</w:t>
      </w:r>
    </w:p>
    <w:p>
      <w:pPr>
        <w:spacing w:after="80"/>
      </w:pPr>
      <w:r>
        <w:rPr>
          <w:sz w:val="20"/>
        </w:rPr>
      </w:r>
      <w:r>
        <w:rPr>
          <w:b/>
          <w:sz w:val="20"/>
        </w:rPr>
        <w:t>CR paid vs. organic:</w:t>
      </w:r>
      <w:r>
        <w:rPr>
          <w:sz w:val="20"/>
        </w:rPr>
      </w:r>
    </w:p>
    <w:p>
      <w:pPr>
        <w:pStyle w:val="ListBullet"/>
        <w:spacing w:after="40"/>
        <w:ind w:left="283"/>
      </w:pPr>
      <w:r>
        <w:rPr>
          <w:sz w:val="20"/>
        </w:rPr>
        <w:t>CR organic (Google): 608/74 329 = 0.82%</w:t>
      </w:r>
    </w:p>
    <w:p>
      <w:pPr>
        <w:pStyle w:val="ListBullet"/>
        <w:spacing w:after="40"/>
        <w:ind w:left="283"/>
      </w:pPr>
      <w:r>
        <w:rPr>
          <w:sz w:val="20"/>
        </w:rPr>
        <w:t>CR Google CPC: 320/132 384 = 0.24% → tylko</w:t>
      </w:r>
      <w:r>
        <w:rPr>
          <w:b/>
          <w:sz w:val="20"/>
        </w:rPr>
        <w:t>29% CR organic</w:t>
      </w:r>
      <w:r>
        <w:rPr>
          <w:sz w:val="20"/>
        </w:rPr>
      </w:r>
    </w:p>
    <w:p>
      <w:pPr>
        <w:spacing w:after="80"/>
      </w:pPr>
      <w:r>
        <w:rPr>
          <w:sz w:val="20"/>
        </w:rPr>
        <w:t>Ruch płatny z Google konwertuje 3.4x gorzej niż ruch organiczny. Benchmark: ruch płatny powinien konwertować min 50% tyle co organiczny. Możliwe przyczyny: złe landing pages dla kampanii, zbyt szeroka publiczność w PMax, niedopasowanie reklamy do strony.</w:t>
      </w:r>
    </w:p>
    <w:p>
      <w:pPr>
        <w:spacing w:after="80"/>
      </w:pPr>
    </w:p>
    <w:p>
      <w:pPr>
        <w:spacing w:before="200" w:after="80"/>
      </w:pPr>
      <w:r>
        <w:rPr>
          <w:b/>
          <w:color w:val="16213E"/>
          <w:sz w:val="26"/>
        </w:rPr>
        <w:t>CZĘŚĆ III — REKOMENDACJE</w:t>
      </w:r>
    </w:p>
    <w:p>
      <w:pPr>
        <w:spacing w:before="120" w:after="80"/>
      </w:pPr>
      <w:r>
        <w:rPr>
          <w:b/>
          <w:color w:val="0F3D66"/>
          <w:sz w:val="22"/>
        </w:rPr>
        <w:t>🔴 Natychmiast (0–7 dni) — zatamowanie strat</w:t>
      </w:r>
    </w:p>
    <w:p>
      <w:pPr>
        <w:spacing w:after="80"/>
      </w:pPr>
      <w:r>
        <w:rPr>
          <w:sz w:val="20"/>
        </w:rPr>
      </w:r>
      <w:r>
        <w:rPr>
          <w:b/>
          <w:sz w:val="20"/>
        </w:rPr>
        <w:t>1. Usunięcie hardcoded tagu GA4 z HTML PrestaShop</w:t>
      </w:r>
      <w:r>
        <w:rPr>
          <w:sz w:val="20"/>
        </w:rPr>
      </w:r>
    </w:p>
    <w:p>
      <w:pPr>
        <w:spacing w:after="80"/>
      </w:pPr>
      <w:r>
        <w:rPr>
          <w:sz w:val="20"/>
        </w:rPr>
        <w:t>To jest PRIORYTET nr 1 całego audytu. Wszystkie inne metryki e-commerce będą zaburzone dopóki ten problem nie zostanie naprawiony.</w:t>
      </w:r>
    </w:p>
    <w:p>
      <w:pPr>
        <w:spacing w:after="80"/>
      </w:pPr>
      <w:r>
        <w:rPr>
          <w:sz w:val="20"/>
        </w:rPr>
        <w:t>Jak: W szablonie PrestaShop (plik header.tpl lub moduł Google Analytics) znaleźć i usunąć linię gtag('config', 'G-93NK3C48R3', {'send_page_view': true}). Zachować tylko gtag('consent', 'default', {...}) jako inicjalizację Consent Mode. GA4 powinno być wysyłane wyłącznie przez GTM.</w:t>
      </w:r>
    </w:p>
    <w:p>
      <w:pPr>
        <w:spacing w:after="80"/>
      </w:pPr>
      <w:r>
        <w:rPr>
          <w:sz w:val="20"/>
        </w:rPr>
        <w:t>Weryfikacja: Po wdrożeniu sprawdzić w GA4 Debug View czy ratio purchase:transakcje zbliży się do 1:1.</w:t>
      </w:r>
    </w:p>
    <w:p>
      <w:pPr>
        <w:spacing w:after="80"/>
      </w:pPr>
      <w:r>
        <w:rPr>
          <w:sz w:val="20"/>
        </w:rPr>
      </w:r>
      <w:r>
        <w:rPr>
          <w:b/>
          <w:sz w:val="20"/>
        </w:rPr>
        <w:t>2. Naprawa malformed transactionId w PrestaShop</w:t>
      </w:r>
      <w:r>
        <w:rPr>
          <w:sz w:val="20"/>
        </w:rPr>
      </w:r>
    </w:p>
    <w:p>
      <w:pPr>
        <w:spacing w:after="80"/>
      </w:pPr>
      <w:r>
        <w:rPr>
          <w:sz w:val="20"/>
        </w:rPr>
        <w:t>Jak: Na stronie potwierdzenia zamówienia (thank-you page) sprawdzić jak GTM pobiera transaction ID. Zamiast pobierać całą wartość id_order=210032&amp;key=... z URL, skrypt powinien pobierać tylko wartość po id_order= i przed &amp;. W GTM: zmienna JavaScript pobierająca {{URL Query - id_order}} (nie cały query string).</w:t>
      </w:r>
    </w:p>
    <w:p>
      <w:pPr>
        <w:spacing w:after="80"/>
      </w:pPr>
      <w:r>
        <w:rPr>
          <w:sz w:val="20"/>
        </w:rPr>
        <w:t>Alternatywnie: Deweloper PrestaShop powinien dodać do DataLayer push na stronie thank-you:</w:t>
      </w:r>
    </w:p>
    <w:p>
      <w:pPr>
        <w:ind w:left="567"/>
      </w:pPr>
      <w:r>
        <w:rPr>
          <w:rFonts w:ascii="Courier New" w:hAnsi="Courier New"/>
          <w:sz w:val="16"/>
        </w:rPr>
        <w:t>dataLayer.push({</w:t>
      </w:r>
    </w:p>
    <w:p>
      <w:pPr>
        <w:ind w:left="567"/>
      </w:pPr>
      <w:r>
        <w:rPr>
          <w:rFonts w:ascii="Courier New" w:hAnsi="Courier New"/>
          <w:sz w:val="16"/>
        </w:rPr>
        <w:t xml:space="preserve">  event: 'purchase',</w:t>
      </w:r>
    </w:p>
    <w:p>
      <w:pPr>
        <w:ind w:left="567"/>
      </w:pPr>
      <w:r>
        <w:rPr>
          <w:rFonts w:ascii="Courier New" w:hAnsi="Courier New"/>
          <w:sz w:val="16"/>
        </w:rPr>
        <w:t xml:space="preserve">  ecommerce: {</w:t>
      </w:r>
    </w:p>
    <w:p>
      <w:pPr>
        <w:ind w:left="567"/>
      </w:pPr>
      <w:r>
        <w:rPr>
          <w:rFonts w:ascii="Courier New" w:hAnsi="Courier New"/>
          <w:sz w:val="16"/>
        </w:rPr>
        <w:t xml:space="preserve">    transaction_id: '{{CZYSTE_ID_ZAMOWIENIA}}',  // np. '210032'</w:t>
      </w:r>
    </w:p>
    <w:p>
      <w:pPr>
        <w:ind w:left="567"/>
      </w:pPr>
      <w:r>
        <w:rPr>
          <w:rFonts w:ascii="Courier New" w:hAnsi="Courier New"/>
          <w:sz w:val="16"/>
        </w:rPr>
        <w:t xml:space="preserve">    value: {{WARTOSC_ZAMOWIENIA}},</w:t>
      </w:r>
    </w:p>
    <w:p>
      <w:pPr>
        <w:ind w:left="567"/>
      </w:pPr>
      <w:r>
        <w:rPr>
          <w:rFonts w:ascii="Courier New" w:hAnsi="Courier New"/>
          <w:sz w:val="16"/>
        </w:rPr>
        <w:t xml:space="preserve">    currency: 'PLN',</w:t>
      </w:r>
    </w:p>
    <w:p>
      <w:pPr>
        <w:ind w:left="567"/>
      </w:pPr>
      <w:r>
        <w:rPr>
          <w:rFonts w:ascii="Courier New" w:hAnsi="Courier New"/>
          <w:sz w:val="16"/>
        </w:rPr>
        <w:t xml:space="preserve">    items: [...]</w:t>
      </w:r>
    </w:p>
    <w:p>
      <w:pPr>
        <w:ind w:left="567"/>
      </w:pPr>
      <w:r>
        <w:rPr>
          <w:rFonts w:ascii="Courier New" w:hAnsi="Courier New"/>
          <w:sz w:val="16"/>
        </w:rPr>
        <w:t xml:space="preserve">  }</w:t>
      </w:r>
    </w:p>
    <w:p>
      <w:pPr>
        <w:ind w:left="567"/>
      </w:pPr>
      <w:r>
        <w:rPr>
          <w:rFonts w:ascii="Courier New" w:hAnsi="Courier New"/>
          <w:sz w:val="16"/>
        </w:rPr>
        <w:t>});</w:t>
      </w:r>
    </w:p>
    <w:p>
      <w:pPr>
        <w:spacing w:after="80"/>
      </w:pPr>
      <w:r>
        <w:rPr>
          <w:sz w:val="20"/>
        </w:rPr>
      </w:r>
      <w:r>
        <w:rPr>
          <w:b/>
          <w:sz w:val="20"/>
        </w:rPr>
        <w:t>3. Naprawa tablicy items[] w purchase event</w:t>
      </w:r>
      <w:r>
        <w:rPr>
          <w:sz w:val="20"/>
        </w:rPr>
      </w:r>
    </w:p>
    <w:p>
      <w:pPr>
        <w:spacing w:after="80"/>
      </w:pPr>
      <w:r>
        <w:rPr>
          <w:sz w:val="20"/>
        </w:rPr>
        <w:t>Jak: Na stronie potwierdzenia zamówienia PrestaShop musi pushować do DataLayer kompletne dane produktowe:</w:t>
      </w:r>
    </w:p>
    <w:p>
      <w:pPr>
        <w:ind w:left="567"/>
      </w:pPr>
      <w:r>
        <w:rPr>
          <w:rFonts w:ascii="Courier New" w:hAnsi="Courier New"/>
          <w:sz w:val="16"/>
        </w:rPr>
        <w:t>ecommerce: {</w:t>
      </w:r>
    </w:p>
    <w:p>
      <w:pPr>
        <w:ind w:left="567"/>
      </w:pPr>
      <w:r>
        <w:rPr>
          <w:rFonts w:ascii="Courier New" w:hAnsi="Courier New"/>
          <w:sz w:val="16"/>
        </w:rPr>
        <w:t xml:space="preserve">  items: [{</w:t>
      </w:r>
    </w:p>
    <w:p>
      <w:pPr>
        <w:ind w:left="567"/>
      </w:pPr>
      <w:r>
        <w:rPr>
          <w:rFonts w:ascii="Courier New" w:hAnsi="Courier New"/>
          <w:sz w:val="16"/>
        </w:rPr>
        <w:t xml:space="preserve">    item_id: '26307',</w:t>
      </w:r>
    </w:p>
    <w:p>
      <w:pPr>
        <w:ind w:left="567"/>
      </w:pPr>
      <w:r>
        <w:rPr>
          <w:rFonts w:ascii="Courier New" w:hAnsi="Courier New"/>
          <w:sz w:val="16"/>
        </w:rPr>
        <w:t xml:space="preserve">    item_name: 'Zielona sukienka midi z jedwabiu',</w:t>
      </w:r>
    </w:p>
    <w:p>
      <w:pPr>
        <w:ind w:left="567"/>
      </w:pPr>
      <w:r>
        <w:rPr>
          <w:rFonts w:ascii="Courier New" w:hAnsi="Courier New"/>
          <w:sz w:val="16"/>
        </w:rPr>
        <w:t xml:space="preserve">    price: 599.00,</w:t>
      </w:r>
    </w:p>
    <w:p>
      <w:pPr>
        <w:ind w:left="567"/>
      </w:pPr>
      <w:r>
        <w:rPr>
          <w:rFonts w:ascii="Courier New" w:hAnsi="Courier New"/>
          <w:sz w:val="16"/>
        </w:rPr>
        <w:t xml:space="preserve">    quantity: 1,</w:t>
      </w:r>
    </w:p>
    <w:p>
      <w:pPr>
        <w:ind w:left="567"/>
      </w:pPr>
      <w:r>
        <w:rPr>
          <w:rFonts w:ascii="Courier New" w:hAnsi="Courier New"/>
          <w:sz w:val="16"/>
        </w:rPr>
        <w:t xml:space="preserve">    item_category: 'Odzież'</w:t>
      </w:r>
    </w:p>
    <w:p>
      <w:pPr>
        <w:ind w:left="567"/>
      </w:pPr>
      <w:r>
        <w:rPr>
          <w:rFonts w:ascii="Courier New" w:hAnsi="Courier New"/>
          <w:sz w:val="16"/>
        </w:rPr>
        <w:t xml:space="preserve">  }]</w:t>
      </w:r>
    </w:p>
    <w:p>
      <w:pPr>
        <w:ind w:left="567"/>
      </w:pPr>
      <w:r>
        <w:rPr>
          <w:rFonts w:ascii="Courier New" w:hAnsi="Courier New"/>
          <w:sz w:val="16"/>
        </w:rPr>
        <w:t>}</w:t>
      </w:r>
    </w:p>
    <w:p>
      <w:pPr>
        <w:spacing w:after="80"/>
      </w:pPr>
      <w:r>
        <w:rPr>
          <w:sz w:val="20"/>
        </w:rPr>
        <w:t>GTM następnie przesyła te dane do GA4. Bez tego niemożliwa optymalizacja kampanii Shopping/PMax.</w:t>
      </w:r>
    </w:p>
    <w:p>
      <w:pPr>
        <w:spacing w:after="80"/>
      </w:pPr>
      <w:r>
        <w:rPr>
          <w:sz w:val="20"/>
        </w:rPr>
      </w:r>
      <w:r>
        <w:rPr>
          <w:b/>
          <w:sz w:val="20"/>
        </w:rPr>
        <w:t>4. Wdrożenie bannera CMP</w:t>
      </w:r>
      <w:r>
        <w:rPr>
          <w:sz w:val="20"/>
        </w:rPr>
      </w:r>
    </w:p>
    <w:p>
      <w:pPr>
        <w:spacing w:after="80"/>
      </w:pPr>
      <w:r>
        <w:rPr>
          <w:sz w:val="20"/>
        </w:rPr>
        <w:t>Jak: Naprawić konfigurację modułu psgdpr lub zastąpić go certyfikowanym CMP (rekomendacja: Cookiebot — integracja z PrestaShop dostępna jako moduł, cena ~60-120 EUR/rok). Banner musi zawierać: kategorie zgód, opcję odrzucenia wszystkich, opcję zmiany decyzji w stopce.</w:t>
      </w:r>
    </w:p>
    <w:p>
      <w:pPr>
        <w:spacing w:after="80"/>
      </w:pPr>
    </w:p>
    <w:p>
      <w:pPr>
        <w:spacing w:before="120" w:after="80"/>
      </w:pPr>
      <w:r>
        <w:rPr>
          <w:b/>
          <w:color w:val="0F3D66"/>
          <w:sz w:val="22"/>
        </w:rPr>
        <w:t>🟡 Miesiąc 1 — optymalizacja i naprawa</w:t>
      </w:r>
    </w:p>
    <w:p>
      <w:pPr>
        <w:spacing w:after="80"/>
      </w:pPr>
      <w:r>
        <w:rPr>
          <w:sz w:val="20"/>
        </w:rPr>
      </w:r>
      <w:r>
        <w:rPr>
          <w:b/>
          <w:sz w:val="20"/>
        </w:rPr>
        <w:t>5. Dodanie referral exclusions</w:t>
      </w:r>
      <w:r>
        <w:rPr>
          <w:sz w:val="20"/>
        </w:rPr>
      </w:r>
    </w:p>
    <w:p>
      <w:pPr>
        <w:spacing w:after="80"/>
      </w:pPr>
      <w:r>
        <w:rPr>
          <w:sz w:val="20"/>
        </w:rPr>
        <w:t>GA4 → Strumień → Konfigurowanie tagów → Lista referrals do wykluczenia:</w:t>
      </w:r>
    </w:p>
    <w:p>
      <w:pPr>
        <w:pStyle w:val="ListBullet"/>
        <w:spacing w:after="40"/>
        <w:ind w:left="283"/>
      </w:pPr>
      <w:r>
        <w:rPr>
          <w:sz w:val="20"/>
        </w:rPr>
        <w:t>klarna.com, pay.klarna.com (bramka płatności)</w:t>
      </w:r>
    </w:p>
    <w:p>
      <w:pPr>
        <w:pStyle w:val="ListBullet"/>
        <w:spacing w:after="40"/>
        <w:ind w:left="283"/>
      </w:pPr>
      <w:r>
        <w:rPr>
          <w:sz w:val="20"/>
        </w:rPr>
        <w:t>wp.pl, onet.pl, interia.pl, o2.pl (webmaile)</w:t>
      </w:r>
    </w:p>
    <w:p>
      <w:pPr>
        <w:pStyle w:val="ListBullet"/>
        <w:spacing w:after="40"/>
        <w:ind w:left="283"/>
      </w:pPr>
      <w:r>
        <w:rPr>
          <w:sz w:val="20"/>
        </w:rPr>
        <w:t>arytonpl.sharepoint.com (ruch wewnętrzny)</w:t>
      </w:r>
    </w:p>
    <w:p>
      <w:pPr>
        <w:spacing w:after="80"/>
      </w:pPr>
      <w:r>
        <w:rPr>
          <w:sz w:val="20"/>
        </w:rPr>
      </w:r>
      <w:r>
        <w:rPr>
          <w:b/>
          <w:sz w:val="20"/>
        </w:rPr>
        <w:t>6. Włączenie url_passthrough</w:t>
      </w:r>
      <w:r>
        <w:rPr>
          <w:sz w:val="20"/>
        </w:rPr>
      </w:r>
    </w:p>
    <w:p>
      <w:pPr>
        <w:spacing w:after="80"/>
      </w:pPr>
      <w:r>
        <w:rPr>
          <w:sz w:val="20"/>
        </w:rPr>
        <w:t>W GTM: Tag GA4 Configuration → dodać pole konfiguracji url_passthrough: true. Lub bezpośrednio w hardcoded gtag (po naprawie — tylko jeden tag powinien zostać).</w:t>
      </w:r>
    </w:p>
    <w:p>
      <w:pPr>
        <w:spacing w:after="80"/>
      </w:pPr>
      <w:r>
        <w:rPr>
          <w:sz w:val="20"/>
        </w:rPr>
      </w:r>
      <w:r>
        <w:rPr>
          <w:b/>
          <w:sz w:val="20"/>
        </w:rPr>
        <w:t>7. Filtry ruchu wewnętrznego</w:t>
      </w:r>
      <w:r>
        <w:rPr>
          <w:sz w:val="20"/>
        </w:rPr>
      </w:r>
    </w:p>
    <w:p>
      <w:pPr>
        <w:spacing w:after="80"/>
      </w:pPr>
      <w:r>
        <w:rPr>
          <w:sz w:val="20"/>
        </w:rPr>
        <w:t>GA4 → Admin → Filtry danych → Ruch wewnętrzny → dodać:</w:t>
      </w:r>
    </w:p>
    <w:p>
      <w:pPr>
        <w:pStyle w:val="ListBullet"/>
        <w:spacing w:after="40"/>
        <w:ind w:left="283"/>
      </w:pPr>
      <w:r>
        <w:rPr>
          <w:sz w:val="20"/>
        </w:rPr>
        <w:t>Adresy IP biura Aryton</w:t>
      </w:r>
    </w:p>
    <w:p>
      <w:pPr>
        <w:pStyle w:val="ListBullet"/>
        <w:spacing w:after="40"/>
        <w:ind w:left="283"/>
      </w:pPr>
      <w:r>
        <w:rPr>
          <w:sz w:val="20"/>
        </w:rPr>
        <w:t>IP agencji marketingowej</w:t>
      </w:r>
    </w:p>
    <w:p>
      <w:pPr>
        <w:pStyle w:val="ListBullet"/>
        <w:spacing w:after="40"/>
        <w:ind w:left="283"/>
      </w:pPr>
      <w:r>
        <w:rPr>
          <w:sz w:val="20"/>
        </w:rPr>
        <w:t>Reguła dla arytonpl.sharepoint.com</w:t>
      </w:r>
    </w:p>
    <w:p>
      <w:pPr>
        <w:spacing w:after="80"/>
      </w:pPr>
      <w:r>
        <w:rPr>
          <w:sz w:val="20"/>
        </w:rPr>
      </w:r>
      <w:r>
        <w:rPr>
          <w:b/>
          <w:sz w:val="20"/>
        </w:rPr>
        <w:t>8. Ujednolicenie UTM dla Meta</w:t>
      </w:r>
      <w:r>
        <w:rPr>
          <w:sz w:val="20"/>
        </w:rPr>
      </w:r>
    </w:p>
    <w:p>
      <w:pPr>
        <w:spacing w:after="80"/>
      </w:pPr>
      <w:r>
        <w:rPr>
          <w:sz w:val="20"/>
        </w:rPr>
        <w:t>W panelu Meta Ads: upewnić się że WSZYSTKIE kampanie i zestawy reklam mają UTM: utm_source=facebook&amp;utm_medium=cpc. Sprawdzić reklamy bez UTM (źródło fragmentacji na 5 wariantów referral).</w:t>
      </w:r>
    </w:p>
    <w:p>
      <w:pPr>
        <w:spacing w:after="80"/>
      </w:pPr>
      <w:r>
        <w:rPr>
          <w:sz w:val="20"/>
        </w:rPr>
      </w:r>
      <w:r>
        <w:rPr>
          <w:b/>
          <w:sz w:val="20"/>
        </w:rPr>
        <w:t>9. Dodanie mikro-konwersji w GA4</w:t>
      </w:r>
      <w:r>
        <w:rPr>
          <w:sz w:val="20"/>
        </w:rPr>
      </w:r>
    </w:p>
    <w:p>
      <w:pPr>
        <w:spacing w:after="80"/>
      </w:pPr>
      <w:r>
        <w:rPr>
          <w:sz w:val="20"/>
        </w:rPr>
        <w:t>GA4 → Admin → Konwersje → Oznacz jako konwersje: add_to_cart (wartość 0), begin_checkout (wartość 0). Poprawi optymalizację kampanii PMax i Smart Bidding.</w:t>
      </w:r>
    </w:p>
    <w:p>
      <w:pPr>
        <w:spacing w:after="80"/>
      </w:pPr>
      <w:r>
        <w:rPr>
          <w:sz w:val="20"/>
        </w:rPr>
      </w:r>
      <w:r>
        <w:rPr>
          <w:b/>
          <w:sz w:val="20"/>
        </w:rPr>
        <w:t>10. Analiza checkout drop-off</w:t>
      </w:r>
      <w:r>
        <w:rPr>
          <w:sz w:val="20"/>
        </w:rPr>
      </w:r>
    </w:p>
    <w:p>
      <w:pPr>
        <w:spacing w:after="80"/>
      </w:pPr>
      <w:r>
        <w:rPr>
          <w:sz w:val="20"/>
        </w:rPr>
        <w:t>Po naprawie duplikacji: uruchomić raport lejka w GA4 Explore → Funnel Exploration. Zidentyfikować dokładny krok gdzie odpada 68% klientów. Rozważyć:</w:t>
      </w:r>
    </w:p>
    <w:p>
      <w:pPr>
        <w:pStyle w:val="ListBullet"/>
        <w:spacing w:after="40"/>
        <w:ind w:left="283"/>
      </w:pPr>
      <w:r>
        <w:rPr>
          <w:sz w:val="20"/>
        </w:rPr>
        <w:t>Włączenie guest checkout (bez rejestracji)</w:t>
      </w:r>
    </w:p>
    <w:p>
      <w:pPr>
        <w:pStyle w:val="ListBullet"/>
        <w:spacing w:after="40"/>
        <w:ind w:left="283"/>
      </w:pPr>
      <w:r>
        <w:rPr>
          <w:sz w:val="20"/>
        </w:rPr>
        <w:t>Uproszczenie procesu do 2-3 kroków</w:t>
      </w:r>
    </w:p>
    <w:p>
      <w:pPr>
        <w:pStyle w:val="ListBullet"/>
        <w:spacing w:after="40"/>
        <w:ind w:left="283"/>
      </w:pPr>
      <w:r>
        <w:rPr>
          <w:sz w:val="20"/>
        </w:rPr>
        <w:t>Dodanie popularnych metod płatności (BLIK, PayPo, Przelewy24)</w:t>
      </w:r>
    </w:p>
    <w:p>
      <w:pPr>
        <w:spacing w:after="80"/>
      </w:pPr>
    </w:p>
    <w:p>
      <w:pPr>
        <w:spacing w:before="120" w:after="80"/>
      </w:pPr>
      <w:r>
        <w:rPr>
          <w:b/>
          <w:color w:val="0F3D66"/>
          <w:sz w:val="22"/>
        </w:rPr>
        <w:t>🟢 Miesiąc 2–3 — skalowanie i strategia</w:t>
      </w:r>
    </w:p>
    <w:p>
      <w:pPr>
        <w:spacing w:after="80"/>
      </w:pPr>
      <w:r>
        <w:rPr>
          <w:sz w:val="20"/>
        </w:rPr>
      </w:r>
      <w:r>
        <w:rPr>
          <w:b/>
          <w:sz w:val="20"/>
        </w:rPr>
        <w:t>11. Analiza produktowa po naprawie items[]</w:t>
      </w:r>
      <w:r>
        <w:rPr>
          <w:sz w:val="20"/>
        </w:rPr>
      </w:r>
    </w:p>
    <w:p>
      <w:pPr>
        <w:spacing w:after="80"/>
      </w:pPr>
      <w:r>
        <w:rPr>
          <w:sz w:val="20"/>
        </w:rPr>
        <w:t>Po naprawie tablicy items: uruchomić raporty produktowe w GA4 → Zarabianie → E-commerce zakupy. Zidentyfikować top produkty, kategorie, bestsellery per kanał.</w:t>
      </w:r>
    </w:p>
    <w:p>
      <w:pPr>
        <w:spacing w:after="80"/>
      </w:pPr>
      <w:r>
        <w:rPr>
          <w:sz w:val="20"/>
        </w:rPr>
      </w:r>
      <w:r>
        <w:rPr>
          <w:b/>
          <w:sz w:val="20"/>
        </w:rPr>
        <w:t>12. Optymalizacja kampanii Cross-network/PMax</w:t>
      </w:r>
      <w:r>
        <w:rPr>
          <w:sz w:val="20"/>
        </w:rPr>
      </w:r>
    </w:p>
    <w:p>
      <w:pPr>
        <w:spacing w:after="80"/>
      </w:pPr>
      <w:r>
        <w:rPr>
          <w:sz w:val="20"/>
        </w:rPr>
        <w:t>Przy 39% ruchu i CR 0,20% (najniższy), kampanie PMax wymagają przeglądu:</w:t>
      </w:r>
    </w:p>
    <w:p>
      <w:pPr>
        <w:pStyle w:val="ListBullet"/>
        <w:spacing w:after="40"/>
        <w:ind w:left="283"/>
      </w:pPr>
      <w:r>
        <w:rPr>
          <w:sz w:val="20"/>
        </w:rPr>
        <w:t>Weryfikacja audience signals</w:t>
      </w:r>
    </w:p>
    <w:p>
      <w:pPr>
        <w:pStyle w:val="ListBullet"/>
        <w:spacing w:after="40"/>
        <w:ind w:left="283"/>
      </w:pPr>
      <w:r>
        <w:rPr>
          <w:sz w:val="20"/>
        </w:rPr>
        <w:t>Sprawdzenie asset groups i ich jakości</w:t>
      </w:r>
    </w:p>
    <w:p>
      <w:pPr>
        <w:pStyle w:val="ListBullet"/>
        <w:spacing w:after="40"/>
        <w:ind w:left="283"/>
      </w:pPr>
      <w:r>
        <w:rPr>
          <w:sz w:val="20"/>
        </w:rPr>
        <w:t>Rozważenie podziału na oddzielne kampanie Shopping + Performance Max</w:t>
      </w:r>
    </w:p>
    <w:p>
      <w:pPr>
        <w:spacing w:after="80"/>
      </w:pPr>
      <w:r>
        <w:rPr>
          <w:sz w:val="20"/>
        </w:rPr>
      </w:r>
      <w:r>
        <w:rPr>
          <w:b/>
          <w:sz w:val="20"/>
        </w:rPr>
        <w:t>13. Skalowanie email marketingu</w:t>
      </w:r>
      <w:r>
        <w:rPr>
          <w:sz w:val="20"/>
        </w:rPr>
      </w:r>
    </w:p>
    <w:p>
      <w:pPr>
        <w:spacing w:after="80"/>
      </w:pPr>
      <w:r>
        <w:rPr>
          <w:sz w:val="20"/>
        </w:rPr>
        <w:t>Email wykazuje CR 1,02% (najwyższy z płatnych kanałów) przy 17 470 sesjach. Potencjał do skalowania bazy eDrone i zwiększenia częstotliwości wysyłek.</w:t>
      </w:r>
    </w:p>
    <w:p>
      <w:pPr>
        <w:spacing w:after="80"/>
      </w:pPr>
      <w:r>
        <w:rPr>
          <w:sz w:val="20"/>
        </w:rPr>
      </w:r>
      <w:r>
        <w:rPr>
          <w:b/>
          <w:sz w:val="20"/>
        </w:rPr>
        <w:t>14. Wdrożenie BigQuery Analytics</w:t>
      </w:r>
      <w:r>
        <w:rPr>
          <w:sz w:val="20"/>
        </w:rPr>
      </w:r>
    </w:p>
    <w:p>
      <w:pPr>
        <w:spacing w:after="80"/>
      </w:pPr>
      <w:r>
        <w:rPr>
          <w:sz w:val="20"/>
        </w:rPr>
        <w:t>BigQuery jest aktywny. Po naprawie jakości danych: zbudować raporty w Looker Studio łączące BigQuery + dane kosztowe Google Ads i Meta Ads → pełny widok ROAS per kanał, per kampania, per produkt.</w:t>
      </w:r>
    </w:p>
    <w:p>
      <w:pPr>
        <w:spacing w:after="80"/>
      </w:pPr>
    </w:p>
    <w:p>
      <w:pPr>
        <w:spacing w:before="200" w:after="80"/>
      </w:pPr>
      <w:r>
        <w:rPr>
          <w:b/>
          <w:color w:val="16213E"/>
          <w:sz w:val="26"/>
        </w:rPr>
        <w:t>CZĘŚĆ IV — Aneks techniczny</w:t>
      </w:r>
    </w:p>
    <w:p>
      <w:pPr>
        <w:spacing w:before="120" w:after="80"/>
      </w:pPr>
      <w:r>
        <w:rPr>
          <w:b/>
          <w:color w:val="0F3D66"/>
          <w:sz w:val="22"/>
        </w:rPr>
        <w:t>Stack MarTech (wykryty z HTML)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Narzędzie</w:t>
            </w:r>
          </w:p>
        </w:tc>
        <w:tc>
          <w:tcPr>
            <w:tcW w:type="dxa" w:w="3135"/>
            <w:shd w:val="clear" w:color="auto" w:fill="1a1a2e"/>
          </w:tcPr>
          <w:p>
            <w:pPr>
              <w:spacing w:before="40" w:after="40"/>
            </w:pPr>
            <w:r>
              <w:rPr>
                <w:b/>
                <w:color w:val="FFFFFF"/>
                <w:sz w:val="17"/>
              </w:rPr>
              <w:t>ID / Wersja</w:t>
            </w:r>
          </w:p>
        </w:tc>
        <w:tc>
          <w:tcPr>
            <w:tcW w:type="dxa" w:w="3135"/>
            <w:shd w:val="clear" w:color="auto" w:fill="1a1a2e"/>
          </w:tcPr>
          <w:p>
            <w:pPr>
              <w:spacing w:before="40" w:after="40"/>
            </w:pPr>
            <w:r>
              <w:rPr>
                <w:b/>
                <w:color w:val="FFFFFF"/>
                <w:sz w:val="17"/>
              </w:rPr>
              <w:t>Status</w:t>
            </w:r>
          </w:p>
        </w:tc>
      </w:tr>
      <w:tr>
        <w:tc>
          <w:tcPr>
            <w:tcW w:type="dxa" w:w="3135"/>
          </w:tcPr>
          <w:p>
            <w:pPr>
              <w:spacing w:before="40" w:after="40"/>
            </w:pPr>
            <w:r>
              <w:rPr>
                <w:sz w:val="17"/>
              </w:rPr>
              <w:t>Google Tag Manager</w:t>
            </w:r>
          </w:p>
        </w:tc>
        <w:tc>
          <w:tcPr>
            <w:tcW w:type="dxa" w:w="3135"/>
          </w:tcPr>
          <w:p>
            <w:pPr>
              <w:spacing w:before="40" w:after="40"/>
            </w:pPr>
            <w:r>
              <w:rPr>
                <w:sz w:val="17"/>
              </w:rPr>
              <w:t>GTM-MDGSP8</w:t>
            </w:r>
          </w:p>
        </w:tc>
        <w:tc>
          <w:tcPr>
            <w:tcW w:type="dxa" w:w="3135"/>
          </w:tcPr>
          <w:p>
            <w:pPr>
              <w:spacing w:before="40" w:after="40"/>
            </w:pPr>
            <w:r>
              <w:rPr>
                <w:sz w:val="17"/>
              </w:rPr>
              <w:t>✅ Aktywny</w:t>
            </w:r>
          </w:p>
        </w:tc>
      </w:tr>
      <w:tr>
        <w:tc>
          <w:tcPr>
            <w:tcW w:type="dxa" w:w="3135"/>
          </w:tcPr>
          <w:p>
            <w:pPr>
              <w:spacing w:before="40" w:after="40"/>
            </w:pPr>
            <w:r>
              <w:rPr>
                <w:sz w:val="17"/>
              </w:rPr>
              <w:t>GA4 (GTM)</w:t>
            </w:r>
          </w:p>
        </w:tc>
        <w:tc>
          <w:tcPr>
            <w:tcW w:type="dxa" w:w="3135"/>
          </w:tcPr>
          <w:p>
            <w:pPr>
              <w:spacing w:before="40" w:after="40"/>
            </w:pPr>
            <w:r>
              <w:rPr>
                <w:sz w:val="17"/>
              </w:rPr>
              <w:t>G-93NK3C48R3</w:t>
            </w:r>
          </w:p>
        </w:tc>
        <w:tc>
          <w:tcPr>
            <w:tcW w:type="dxa" w:w="3135"/>
          </w:tcPr>
          <w:p>
            <w:pPr>
              <w:spacing w:before="40" w:after="40"/>
            </w:pPr>
            <w:r>
              <w:rPr>
                <w:sz w:val="17"/>
              </w:rPr>
              <w:t>✅ Aktywny</w:t>
            </w:r>
          </w:p>
        </w:tc>
      </w:tr>
      <w:tr>
        <w:tc>
          <w:tcPr>
            <w:tcW w:type="dxa" w:w="3135"/>
          </w:tcPr>
          <w:p>
            <w:pPr>
              <w:spacing w:before="40" w:after="40"/>
            </w:pPr>
            <w:r>
              <w:rPr>
                <w:sz w:val="17"/>
              </w:rPr>
              <w:t>GA4 (hardcoded)</w:t>
            </w:r>
          </w:p>
        </w:tc>
        <w:tc>
          <w:tcPr>
            <w:tcW w:type="dxa" w:w="3135"/>
          </w:tcPr>
          <w:p>
            <w:pPr>
              <w:spacing w:before="40" w:after="40"/>
            </w:pPr>
            <w:r>
              <w:rPr>
                <w:sz w:val="17"/>
              </w:rPr>
              <w:t>G-93NK3C48R3</w:t>
            </w:r>
          </w:p>
        </w:tc>
        <w:tc>
          <w:tcPr>
            <w:tcW w:type="dxa" w:w="3135"/>
          </w:tcPr>
          <w:p>
            <w:pPr>
              <w:spacing w:before="40" w:after="40"/>
            </w:pPr>
            <w:r>
              <w:rPr>
                <w:sz w:val="17"/>
              </w:rPr>
              <w:t>❌ Duplikat — do usunięcia</w:t>
            </w:r>
          </w:p>
        </w:tc>
      </w:tr>
      <w:tr>
        <w:tc>
          <w:tcPr>
            <w:tcW w:type="dxa" w:w="3135"/>
          </w:tcPr>
          <w:p>
            <w:pPr>
              <w:spacing w:before="40" w:after="40"/>
            </w:pPr>
            <w:r>
              <w:rPr>
                <w:sz w:val="17"/>
              </w:rPr>
              <w:t>Google Ads Conversion</w:t>
            </w:r>
          </w:p>
        </w:tc>
        <w:tc>
          <w:tcPr>
            <w:tcW w:type="dxa" w:w="3135"/>
          </w:tcPr>
          <w:p>
            <w:pPr>
              <w:spacing w:before="40" w:after="40"/>
            </w:pPr>
            <w:r>
              <w:rPr>
                <w:sz w:val="17"/>
              </w:rPr>
              <w:t>AW-769585117</w:t>
            </w:r>
          </w:p>
        </w:tc>
        <w:tc>
          <w:tcPr>
            <w:tcW w:type="dxa" w:w="3135"/>
          </w:tcPr>
          <w:p>
            <w:pPr>
              <w:spacing w:before="40" w:after="40"/>
            </w:pPr>
            <w:r>
              <w:rPr>
                <w:sz w:val="17"/>
              </w:rPr>
              <w:t>✅ Aktywny</w:t>
            </w:r>
          </w:p>
        </w:tc>
      </w:tr>
      <w:tr>
        <w:tc>
          <w:tcPr>
            <w:tcW w:type="dxa" w:w="3135"/>
          </w:tcPr>
          <w:p>
            <w:pPr>
              <w:spacing w:before="40" w:after="40"/>
            </w:pPr>
            <w:r>
              <w:rPr>
                <w:sz w:val="17"/>
              </w:rPr>
              <w:t>Meta Pixel</w:t>
            </w:r>
          </w:p>
        </w:tc>
        <w:tc>
          <w:tcPr>
            <w:tcW w:type="dxa" w:w="3135"/>
          </w:tcPr>
          <w:p>
            <w:pPr>
              <w:spacing w:before="40" w:after="40"/>
            </w:pPr>
            <w:r>
              <w:rPr>
                <w:sz w:val="17"/>
              </w:rPr>
              <w:t>268133950519975</w:t>
            </w:r>
          </w:p>
        </w:tc>
        <w:tc>
          <w:tcPr>
            <w:tcW w:type="dxa" w:w="3135"/>
          </w:tcPr>
          <w:p>
            <w:pPr>
              <w:spacing w:before="40" w:after="40"/>
            </w:pPr>
            <w:r>
              <w:rPr>
                <w:sz w:val="17"/>
              </w:rPr>
              <w:t>✅ Aktywny</w:t>
            </w:r>
          </w:p>
        </w:tc>
      </w:tr>
      <w:tr>
        <w:tc>
          <w:tcPr>
            <w:tcW w:type="dxa" w:w="3135"/>
          </w:tcPr>
          <w:p>
            <w:pPr>
              <w:spacing w:before="40" w:after="40"/>
            </w:pPr>
            <w:r>
              <w:rPr>
                <w:sz w:val="17"/>
              </w:rPr>
              <w:t>Meta CAPI (server-side)</w:t>
            </w:r>
          </w:p>
        </w:tc>
        <w:tc>
          <w:tcPr>
            <w:tcW w:type="dxa" w:w="3135"/>
          </w:tcPr>
          <w:p>
            <w:pPr>
              <w:spacing w:before="40" w:after="40"/>
            </w:pPr>
            <w:r>
              <w:rPr>
                <w:sz w:val="17"/>
              </w:rPr>
              <w:t>/module/facebookconversiontrackingplus/</w:t>
            </w:r>
          </w:p>
        </w:tc>
        <w:tc>
          <w:tcPr>
            <w:tcW w:type="dxa" w:w="3135"/>
          </w:tcPr>
          <w:p>
            <w:pPr>
              <w:spacing w:before="40" w:after="40"/>
            </w:pPr>
            <w:r>
              <w:rPr>
                <w:sz w:val="17"/>
              </w:rPr>
              <w:t>✅ Aktywny</w:t>
            </w:r>
          </w:p>
        </w:tc>
      </w:tr>
      <w:tr>
        <w:tc>
          <w:tcPr>
            <w:tcW w:type="dxa" w:w="3135"/>
          </w:tcPr>
          <w:p>
            <w:pPr>
              <w:spacing w:before="40" w:after="40"/>
            </w:pPr>
            <w:r>
              <w:rPr>
                <w:sz w:val="17"/>
              </w:rPr>
              <w:t>eDrone</w:t>
            </w:r>
          </w:p>
        </w:tc>
        <w:tc>
          <w:tcPr>
            <w:tcW w:type="dxa" w:w="3135"/>
          </w:tcPr>
          <w:p>
            <w:pPr>
              <w:spacing w:before="40" w:after="40"/>
            </w:pPr>
            <w:r>
              <w:rPr>
                <w:sz w:val="17"/>
              </w:rPr>
              <w:t>appId: 626a8093e4423</w:t>
            </w:r>
          </w:p>
        </w:tc>
        <w:tc>
          <w:tcPr>
            <w:tcW w:type="dxa" w:w="3135"/>
          </w:tcPr>
          <w:p>
            <w:pPr>
              <w:spacing w:before="40" w:after="40"/>
            </w:pPr>
            <w:r>
              <w:rPr>
                <w:sz w:val="17"/>
              </w:rPr>
              <w:t>✅ Aktywny</w:t>
            </w:r>
          </w:p>
        </w:tc>
      </w:tr>
      <w:tr>
        <w:tc>
          <w:tcPr>
            <w:tcW w:type="dxa" w:w="3135"/>
          </w:tcPr>
          <w:p>
            <w:pPr>
              <w:spacing w:before="40" w:after="40"/>
            </w:pPr>
            <w:r>
              <w:rPr>
                <w:sz w:val="17"/>
              </w:rPr>
              <w:t>Klarna</w:t>
            </w:r>
          </w:p>
        </w:tc>
        <w:tc>
          <w:tcPr>
            <w:tcW w:type="dxa" w:w="3135"/>
          </w:tcPr>
          <w:p>
            <w:pPr>
              <w:spacing w:before="40" w:after="40"/>
            </w:pPr>
            <w:r>
              <w:rPr>
                <w:sz w:val="17"/>
              </w:rPr>
              <w:t>clientId present</w:t>
            </w:r>
          </w:p>
        </w:tc>
        <w:tc>
          <w:tcPr>
            <w:tcW w:type="dxa" w:w="3135"/>
          </w:tcPr>
          <w:p>
            <w:pPr>
              <w:spacing w:before="40" w:after="40"/>
            </w:pPr>
            <w:r>
              <w:rPr>
                <w:sz w:val="17"/>
              </w:rPr>
              <w:t>✅ Aktywny</w:t>
            </w:r>
          </w:p>
        </w:tc>
      </w:tr>
      <w:tr>
        <w:tc>
          <w:tcPr>
            <w:tcW w:type="dxa" w:w="3135"/>
          </w:tcPr>
          <w:p>
            <w:pPr>
              <w:spacing w:before="40" w:after="40"/>
            </w:pPr>
            <w:r>
              <w:rPr>
                <w:sz w:val="17"/>
              </w:rPr>
              <w:t>DPD</w:t>
            </w:r>
          </w:p>
        </w:tc>
        <w:tc>
          <w:tcPr>
            <w:tcW w:type="dxa" w:w="3135"/>
          </w:tcPr>
          <w:p>
            <w:pPr>
              <w:spacing w:before="40" w:after="40"/>
            </w:pPr>
            <w:r>
              <w:rPr>
                <w:sz w:val="17"/>
              </w:rPr>
              <w:t>iframe widget</w:t>
            </w:r>
          </w:p>
        </w:tc>
        <w:tc>
          <w:tcPr>
            <w:tcW w:type="dxa" w:w="3135"/>
          </w:tcPr>
          <w:p>
            <w:pPr>
              <w:spacing w:before="40" w:after="40"/>
            </w:pPr>
            <w:r>
              <w:rPr>
                <w:sz w:val="17"/>
              </w:rPr>
              <w:t>✅ Aktywny</w:t>
            </w:r>
          </w:p>
        </w:tc>
      </w:tr>
      <w:tr>
        <w:tc>
          <w:tcPr>
            <w:tcW w:type="dxa" w:w="3135"/>
          </w:tcPr>
          <w:p>
            <w:pPr>
              <w:spacing w:before="40" w:after="40"/>
            </w:pPr>
            <w:r>
              <w:rPr>
                <w:sz w:val="17"/>
              </w:rPr>
              <w:t>psgdpr</w:t>
            </w:r>
          </w:p>
        </w:tc>
        <w:tc>
          <w:tcPr>
            <w:tcW w:type="dxa" w:w="3135"/>
          </w:tcPr>
          <w:p>
            <w:pPr>
              <w:spacing w:before="40" w:after="40"/>
            </w:pPr>
            <w:r>
              <w:rPr>
                <w:sz w:val="17"/>
              </w:rPr>
              <w:t>PrestaShop GDPR moduł</w:t>
            </w:r>
          </w:p>
        </w:tc>
        <w:tc>
          <w:tcPr>
            <w:tcW w:type="dxa" w:w="3135"/>
          </w:tcPr>
          <w:p>
            <w:pPr>
              <w:spacing w:before="40" w:after="40"/>
            </w:pPr>
            <w:r>
              <w:rPr>
                <w:sz w:val="17"/>
              </w:rPr>
              <w:t>⚠️ Baner niewidoczny</w:t>
            </w:r>
          </w:p>
        </w:tc>
      </w:tr>
      <w:tr>
        <w:tc>
          <w:tcPr>
            <w:tcW w:type="dxa" w:w="3135"/>
          </w:tcPr>
          <w:p>
            <w:pPr>
              <w:spacing w:before="40" w:after="40"/>
            </w:pPr>
            <w:r>
              <w:rPr>
                <w:sz w:val="17"/>
              </w:rPr>
              <w:t>Universal Analytics</w:t>
            </w:r>
          </w:p>
        </w:tc>
        <w:tc>
          <w:tcPr>
            <w:tcW w:type="dxa" w:w="3135"/>
          </w:tcPr>
          <w:p>
            <w:pPr>
              <w:spacing w:before="40" w:after="40"/>
            </w:pPr>
            <w:r>
              <w:rPr>
                <w:sz w:val="17"/>
              </w:rPr>
              <w:t>—</w:t>
            </w:r>
          </w:p>
        </w:tc>
        <w:tc>
          <w:tcPr>
            <w:tcW w:type="dxa" w:w="3135"/>
          </w:tcPr>
          <w:p>
            <w:pPr>
              <w:spacing w:before="40" w:after="40"/>
            </w:pPr>
            <w:r>
              <w:rPr>
                <w:sz w:val="17"/>
              </w:rPr>
              <w:t>✅ Usunięty</w:t>
            </w:r>
          </w:p>
        </w:tc>
      </w:tr>
      <w:tr>
        <w:tc>
          <w:tcPr>
            <w:tcW w:type="dxa" w:w="3135"/>
          </w:tcPr>
          <w:p>
            <w:pPr>
              <w:spacing w:before="40" w:after="40"/>
            </w:pPr>
            <w:r>
              <w:rPr>
                <w:sz w:val="17"/>
              </w:rPr>
              <w:t>Consent Mode v2</w:t>
            </w:r>
          </w:p>
        </w:tc>
        <w:tc>
          <w:tcPr>
            <w:tcW w:type="dxa" w:w="3135"/>
          </w:tcPr>
          <w:p>
            <w:pPr>
              <w:spacing w:before="40" w:after="40"/>
            </w:pPr>
            <w:r>
              <w:rPr>
                <w:sz w:val="17"/>
              </w:rPr>
              <w:t>default: denied</w:t>
            </w:r>
          </w:p>
        </w:tc>
        <w:tc>
          <w:tcPr>
            <w:tcW w:type="dxa" w:w="3135"/>
          </w:tcPr>
          <w:p>
            <w:pPr>
              <w:spacing w:before="40" w:after="40"/>
            </w:pPr>
            <w:r>
              <w:rPr>
                <w:sz w:val="17"/>
              </w:rPr>
              <w:t>⚠️ Techniczny OK, brak CMP</w:t>
            </w:r>
          </w:p>
        </w:tc>
      </w:tr>
    </w:tbl>
    <w:p/>
    <w:p>
      <w:pPr>
        <w:spacing w:before="120" w:after="80"/>
      </w:pPr>
      <w:r>
        <w:rPr>
          <w:b/>
          <w:color w:val="0F3D66"/>
          <w:sz w:val="22"/>
        </w:rPr>
        <w:t>Dane GA4 — Transakcje (30d)</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pPr>
              <w:spacing w:before="40" w:after="40"/>
            </w:pPr>
            <w:r>
              <w:rPr>
                <w:b/>
                <w:color w:val="FFFFFF"/>
                <w:sz w:val="17"/>
              </w:rPr>
              <w:t>Metryka</w:t>
            </w:r>
          </w:p>
        </w:tc>
        <w:tc>
          <w:tcPr>
            <w:tcW w:type="dxa" w:w="4703"/>
            <w:shd w:val="clear" w:color="auto" w:fill="1a1a2e"/>
          </w:tcPr>
          <w:p>
            <w:pPr>
              <w:spacing w:before="40" w:after="40"/>
            </w:pPr>
            <w:r>
              <w:rPr>
                <w:b/>
                <w:color w:val="FFFFFF"/>
                <w:sz w:val="17"/>
              </w:rPr>
              <w:t>Wartość</w:t>
            </w:r>
          </w:p>
        </w:tc>
      </w:tr>
      <w:tr>
        <w:tc>
          <w:tcPr>
            <w:tcW w:type="dxa" w:w="4703"/>
          </w:tcPr>
          <w:p>
            <w:pPr>
              <w:spacing w:before="40" w:after="40"/>
            </w:pPr>
            <w:r>
              <w:rPr>
                <w:sz w:val="17"/>
              </w:rPr>
              <w:t>Unique transaction IDs</w:t>
            </w:r>
          </w:p>
        </w:tc>
        <w:tc>
          <w:tcPr>
            <w:tcW w:type="dxa" w:w="4703"/>
          </w:tcPr>
          <w:p>
            <w:pPr>
              <w:spacing w:before="40" w:after="40"/>
            </w:pPr>
            <w:r>
              <w:rPr>
                <w:sz w:val="17"/>
              </w:rPr>
              <w:t>1 503</w:t>
            </w:r>
          </w:p>
        </w:tc>
      </w:tr>
      <w:tr>
        <w:tc>
          <w:tcPr>
            <w:tcW w:type="dxa" w:w="4703"/>
          </w:tcPr>
          <w:p>
            <w:pPr>
              <w:spacing w:before="40" w:after="40"/>
            </w:pPr>
            <w:r>
              <w:rPr>
                <w:sz w:val="17"/>
              </w:rPr>
              <w:t>Z czego malformed (&amp;key=...)</w:t>
            </w:r>
          </w:p>
        </w:tc>
        <w:tc>
          <w:tcPr>
            <w:tcW w:type="dxa" w:w="4703"/>
          </w:tcPr>
          <w:p>
            <w:pPr>
              <w:spacing w:before="40" w:after="40"/>
            </w:pPr>
            <w:r>
              <w:rPr>
                <w:sz w:val="17"/>
              </w:rPr>
              <w:t>1 088 (72,4%)</w:t>
            </w:r>
          </w:p>
        </w:tc>
      </w:tr>
      <w:tr>
        <w:tc>
          <w:tcPr>
            <w:tcW w:type="dxa" w:w="4703"/>
          </w:tcPr>
          <w:p>
            <w:pPr>
              <w:spacing w:before="40" w:after="40"/>
            </w:pPr>
            <w:r>
              <w:rPr>
                <w:sz w:val="17"/>
              </w:rPr>
              <w:t>Z czego (not set)</w:t>
            </w:r>
          </w:p>
        </w:tc>
        <w:tc>
          <w:tcPr>
            <w:tcW w:type="dxa" w:w="4703"/>
          </w:tcPr>
          <w:p>
            <w:pPr>
              <w:spacing w:before="40" w:after="40"/>
            </w:pPr>
            <w:r>
              <w:rPr>
                <w:sz w:val="17"/>
              </w:rPr>
              <w:t>1 wiersz (92 purchase events)</w:t>
            </w:r>
          </w:p>
        </w:tc>
      </w:tr>
      <w:tr>
        <w:tc>
          <w:tcPr>
            <w:tcW w:type="dxa" w:w="4703"/>
          </w:tcPr>
          <w:p>
            <w:pPr>
              <w:spacing w:before="40" w:after="40"/>
            </w:pPr>
            <w:r>
              <w:rPr>
                <w:sz w:val="17"/>
              </w:rPr>
              <w:t>Z czego czyste ID</w:t>
            </w:r>
          </w:p>
        </w:tc>
        <w:tc>
          <w:tcPr>
            <w:tcW w:type="dxa" w:w="4703"/>
          </w:tcPr>
          <w:p>
            <w:pPr>
              <w:spacing w:before="40" w:after="40"/>
            </w:pPr>
            <w:r>
              <w:rPr>
                <w:sz w:val="17"/>
              </w:rPr>
              <w:t>414 (27,5%)</w:t>
            </w:r>
          </w:p>
        </w:tc>
      </w:tr>
      <w:tr>
        <w:tc>
          <w:tcPr>
            <w:tcW w:type="dxa" w:w="4703"/>
          </w:tcPr>
          <w:p>
            <w:pPr>
              <w:spacing w:before="40" w:after="40"/>
            </w:pPr>
            <w:r>
              <w:rPr>
                <w:sz w:val="17"/>
              </w:rPr>
              <w:t>ecommercePurchases (suma)</w:t>
            </w:r>
          </w:p>
        </w:tc>
        <w:tc>
          <w:tcPr>
            <w:tcW w:type="dxa" w:w="4703"/>
          </w:tcPr>
          <w:p>
            <w:pPr>
              <w:spacing w:before="40" w:after="40"/>
            </w:pPr>
            <w:r>
              <w:rPr>
                <w:sz w:val="17"/>
              </w:rPr>
              <w:t>1 582</w:t>
            </w:r>
          </w:p>
        </w:tc>
      </w:tr>
      <w:tr>
        <w:tc>
          <w:tcPr>
            <w:tcW w:type="dxa" w:w="4703"/>
          </w:tcPr>
          <w:p>
            <w:pPr>
              <w:spacing w:before="40" w:after="40"/>
            </w:pPr>
            <w:r>
              <w:rPr>
                <w:sz w:val="17"/>
              </w:rPr>
              <w:t>transactions (GA4 deduplikowane)</w:t>
            </w:r>
          </w:p>
        </w:tc>
        <w:tc>
          <w:tcPr>
            <w:tcW w:type="dxa" w:w="4703"/>
          </w:tcPr>
          <w:p>
            <w:pPr>
              <w:spacing w:before="40" w:after="40"/>
            </w:pPr>
            <w:r>
              <w:rPr>
                <w:sz w:val="17"/>
              </w:rPr>
              <w:t>413</w:t>
            </w:r>
          </w:p>
        </w:tc>
      </w:tr>
      <w:tr>
        <w:tc>
          <w:tcPr>
            <w:tcW w:type="dxa" w:w="4703"/>
          </w:tcPr>
          <w:p>
            <w:pPr>
              <w:spacing w:before="40" w:after="40"/>
            </w:pPr>
            <w:r>
              <w:rPr>
                <w:sz w:val="17"/>
              </w:rPr>
              <w:t>Ratio</w:t>
            </w:r>
          </w:p>
        </w:tc>
        <w:tc>
          <w:tcPr>
            <w:tcW w:type="dxa" w:w="4703"/>
          </w:tcPr>
          <w:p>
            <w:pPr>
              <w:spacing w:before="40" w:after="40"/>
            </w:pPr>
            <w:r>
              <w:rPr>
                <w:sz w:val="17"/>
              </w:rPr>
              <w:t>3,83x</w:t>
            </w:r>
          </w:p>
        </w:tc>
      </w:tr>
      <w:tr>
        <w:tc>
          <w:tcPr>
            <w:tcW w:type="dxa" w:w="4703"/>
          </w:tcPr>
          <w:p>
            <w:pPr>
              <w:spacing w:before="40" w:after="40"/>
            </w:pPr>
            <w:r>
              <w:rPr>
                <w:sz w:val="17"/>
              </w:rPr>
              <w:t>Revenue łączny</w:t>
            </w:r>
          </w:p>
        </w:tc>
        <w:tc>
          <w:tcPr>
            <w:tcW w:type="dxa" w:w="4703"/>
          </w:tcPr>
          <w:p>
            <w:pPr>
              <w:spacing w:before="40" w:after="40"/>
            </w:pPr>
            <w:r>
              <w:rPr>
                <w:sz w:val="17"/>
              </w:rPr>
              <w:t>515 556 PLN</w:t>
            </w:r>
          </w:p>
        </w:tc>
      </w:tr>
      <w:tr>
        <w:tc>
          <w:tcPr>
            <w:tcW w:type="dxa" w:w="4703"/>
          </w:tcPr>
          <w:p>
            <w:pPr>
              <w:spacing w:before="40" w:after="40"/>
            </w:pPr>
            <w:r>
              <w:rPr>
                <w:sz w:val="17"/>
              </w:rPr>
              <w:t>AOV (per transaction)</w:t>
            </w:r>
          </w:p>
        </w:tc>
        <w:tc>
          <w:tcPr>
            <w:tcW w:type="dxa" w:w="4703"/>
          </w:tcPr>
          <w:p>
            <w:pPr>
              <w:spacing w:before="40" w:after="40"/>
            </w:pPr>
            <w:r>
              <w:rPr>
                <w:sz w:val="17"/>
              </w:rPr>
              <w:t>1 249 PLN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