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Audyt MarTech — Patrizia Aryton</w:t>
      </w:r>
    </w:p>
    <w:p>
      <w:pPr>
        <w:jc w:val="center"/>
      </w:pPr>
      <w:r>
        <w:rPr>
          <w:color w:val="555555"/>
          <w:sz w:val="24"/>
        </w:rPr>
        <w:t>Podsumowanie dla Właściciela | Kwiecień 2026</w:t>
      </w:r>
    </w:p>
    <w:p/>
    <w:p>
      <w:pPr>
        <w:spacing w:before="200" w:after="80"/>
      </w:pPr>
      <w:r>
        <w:rPr>
          <w:b/>
          <w:color w:val="1A1A2E"/>
          <w:sz w:val="32"/>
        </w:rPr>
        <w:t>Audyt MarTech — Podsumowanie dla właściciela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Klient:</w:t>
      </w:r>
      <w:r>
        <w:rPr>
          <w:sz w:val="20"/>
        </w:rPr>
        <w:t>Patrizia Aryton (patrizia.aryton.pl)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Data:</w:t>
      </w:r>
      <w:r>
        <w:rPr>
          <w:sz w:val="20"/>
        </w:rPr>
        <w:t>07.04.2026 |</w:t>
      </w:r>
      <w:r>
        <w:rPr>
          <w:b/>
          <w:sz w:val="20"/>
        </w:rPr>
        <w:t>Okres analizy:</w:t>
      </w:r>
      <w:r>
        <w:rPr>
          <w:sz w:val="20"/>
        </w:rPr>
        <w:t>08.03 – 07.04.2026 (30 dni)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Audytor:</w:t>
      </w:r>
      <w:r>
        <w:rPr>
          <w:sz w:val="20"/>
        </w:rPr>
        <w:t>Adrian Andrzejczyk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Typ biznesu:</w:t>
      </w:r>
      <w:r>
        <w:rPr>
          <w:sz w:val="20"/>
        </w:rPr>
        <w:t>E-commerce premium (odzież damska) | Platforma: PrestaShop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Wyniki ogólne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Obszar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Wynik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Ocena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1. Infrastruktura śledzenia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41%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2. Zgodność z prawem (cookies)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3. Konfiguracja systemu analitycznego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31%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4. Jakość danych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5. Oznaczenia ruchu (UTM)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72%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⚠️ Wymaga poprawy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7. Lejki zakupowe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38%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ŁĄCZNIE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45%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❌ Krytyczny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Ocena ogólna:</w:t>
      </w:r>
      <w:r>
        <w:rPr>
          <w:sz w:val="20"/>
        </w:rPr>
        <w:t>System analityczny sklepu dostarcza fałszywe dane sprzedażowe i naraża firmę na naruszenie RODO — decyzje marketingowe oparte na obecnych raportach GA4 są oparte na błędnych liczbach.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Najważniejsze problemy (z wyceną)</w:t>
      </w:r>
    </w:p>
    <w:p>
      <w:pPr>
        <w:spacing w:before="120" w:after="80"/>
      </w:pPr>
      <w:r>
        <w:rPr>
          <w:b/>
          <w:color w:val="0F3D66"/>
          <w:sz w:val="22"/>
        </w:rPr>
        <w:t>🔴 Problem 1 — Dane sprzedażowe zawyżone prawie 4-krotnie</w:t>
      </w:r>
    </w:p>
    <w:p>
      <w:pPr>
        <w:spacing w:after="80"/>
      </w:pPr>
      <w:r>
        <w:rPr>
          <w:sz w:val="20"/>
        </w:rPr>
        <w:t>System analityczny rejestruje każdy zakup średnio</w:t>
      </w:r>
      <w:r>
        <w:rPr>
          <w:b/>
          <w:sz w:val="20"/>
        </w:rPr>
        <w:t>3,83 razy</w:t>
      </w:r>
      <w:r>
        <w:rPr>
          <w:sz w:val="20"/>
        </w:rPr>
        <w:t>zamiast raz. Dzieje się tak dlatego, że sklep ma jednocześnie zainstalowane dwa "liczniki" Google Analytics — jeden wbudowany w kod strony, drugi przez Google Tag Manager. Oba liczą tę samą sprzedaż.</w:t>
      </w:r>
    </w:p>
    <w:p>
      <w:pPr>
        <w:spacing w:after="80"/>
      </w:pPr>
      <w:r>
        <w:rPr>
          <w:sz w:val="20"/>
        </w:rPr>
        <w:t>W efekcie raporty pokazują 1 582 zakupów zamiast rzeczywistych ~413. Wszelkie wskaźniki oparte na liczbie transakcji (np. ROAS kampanii, współczynnik konwersji) są błędne. Ten problem wykryliśmy już 4 dni temu (audyt 03.04.2026) — ratio wzrosło z 3.53 do 3.83 co świadczy o pogłębieniu błędu.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Błędne decyzje budżetowe w kampaniach (niepoliczalne) |</w:t>
      </w:r>
      <w:r>
        <w:rPr>
          <w:b/>
          <w:sz w:val="20"/>
        </w:rPr>
        <w:t>Priorytet:</w:t>
      </w:r>
      <w:r>
        <w:rPr>
          <w:sz w:val="20"/>
        </w:rPr>
        <w:t>Natychmiastowy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🔴 Problem 2 — 72% zamówień bez możliwości analizy</w:t>
      </w:r>
    </w:p>
    <w:p>
      <w:pPr>
        <w:spacing w:after="80"/>
      </w:pPr>
      <w:r>
        <w:rPr>
          <w:sz w:val="20"/>
        </w:rPr>
        <w:t>Spośród 1 503 unikalnych numerów zamówień z ostatnich 30 dni, aż</w:t>
      </w:r>
      <w:r>
        <w:rPr>
          <w:b/>
          <w:sz w:val="20"/>
        </w:rPr>
        <w:t>1 088 (72,4%) zawiera błędny format</w:t>
      </w:r>
      <w:r>
        <w:rPr>
          <w:sz w:val="20"/>
        </w:rPr>
        <w:t>— zamiast czystego numeru zamówienia (np. "210032"), do systemu trafia cały adres URL strony potwierdzenia (np. "210032&amp;key=1abe2783..."). To błąd w konfiguracji sklepu PrestaShop.</w:t>
      </w:r>
    </w:p>
    <w:p>
      <w:pPr>
        <w:spacing w:after="80"/>
      </w:pPr>
      <w:r>
        <w:rPr>
          <w:sz w:val="20"/>
        </w:rPr>
        <w:t>Konsekwencja: nie można przyporządkować konkretnego zamówienia do klienta, kanału marketingowego ani produktu. Przychód z 72% transakcji jest niemożliwy do zweryfikowania w GA4.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Brak wglądu w ~373 000 PLN/msc przychodu |</w:t>
      </w:r>
      <w:r>
        <w:rPr>
          <w:b/>
          <w:sz w:val="20"/>
        </w:rPr>
        <w:t>Priorytet:</w:t>
      </w:r>
      <w:r>
        <w:rPr>
          <w:sz w:val="20"/>
        </w:rPr>
        <w:t>Natychmiastowy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🔴 Problem 3 — Dane produktowe całkowicie zepsute</w:t>
      </w:r>
    </w:p>
    <w:p>
      <w:pPr>
        <w:spacing w:after="80"/>
      </w:pPr>
      <w:r>
        <w:rPr>
          <w:sz w:val="20"/>
        </w:rPr>
        <w:t>Przez ostatnie 30 dni system analityczny</w:t>
      </w:r>
      <w:r>
        <w:rPr>
          <w:b/>
          <w:sz w:val="20"/>
        </w:rPr>
        <w:t>nie zarejestrował ani jednego zakupionego produktu</w:t>
      </w:r>
      <w:r>
        <w:rPr>
          <w:sz w:val="20"/>
        </w:rPr>
        <w:t>. Dosłownie: zakupionych produktów = 0 dla wszystkich 2 691 pozycji w katalogu. Oznacza to że niemożliwe jest sprawdzenie:</w:t>
      </w:r>
    </w:p>
    <w:p>
      <w:pPr>
        <w:pStyle w:val="ListBullet"/>
        <w:spacing w:after="40"/>
        <w:ind w:left="283"/>
      </w:pPr>
      <w:r>
        <w:rPr>
          <w:sz w:val="20"/>
        </w:rPr>
        <w:t>Które produkty się sprzedają najlepiej</w:t>
      </w:r>
    </w:p>
    <w:p>
      <w:pPr>
        <w:pStyle w:val="ListBullet"/>
        <w:spacing w:after="40"/>
        <w:ind w:left="283"/>
      </w:pPr>
      <w:r>
        <w:rPr>
          <w:sz w:val="20"/>
        </w:rPr>
        <w:t>Które kategorie generują największy przychód</w:t>
      </w:r>
    </w:p>
    <w:p>
      <w:pPr>
        <w:pStyle w:val="ListBullet"/>
        <w:spacing w:after="40"/>
        <w:ind w:left="283"/>
      </w:pPr>
      <w:r>
        <w:rPr>
          <w:sz w:val="20"/>
        </w:rPr>
        <w:t>Jaką marżowość mają bestsellery</w:t>
      </w:r>
    </w:p>
    <w:p>
      <w:pPr>
        <w:pStyle w:val="ListBullet"/>
        <w:spacing w:after="40"/>
        <w:ind w:left="283"/>
      </w:pPr>
      <w:r>
        <w:rPr>
          <w:sz w:val="20"/>
        </w:rPr>
        <w:t>Które produkty powinny być priorytetem w kampaniach reklamowych Google Shopping i Meta</w:t>
      </w:r>
    </w:p>
    <w:p>
      <w:pPr>
        <w:spacing w:after="80"/>
      </w:pPr>
      <w:r>
        <w:rPr>
          <w:sz w:val="20"/>
        </w:rPr>
        <w:t>Bez tych danych kampanie produktowe są "ślepe" — system reklamowy nie wie które produkty warto promować.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Nieoptymalny dobór produktów do kampanii = przepalony budżet reklamowy |</w:t>
      </w:r>
      <w:r>
        <w:rPr>
          <w:b/>
          <w:sz w:val="20"/>
        </w:rPr>
        <w:t>Priorytet:</w:t>
      </w:r>
      <w:r>
        <w:rPr>
          <w:sz w:val="20"/>
        </w:rPr>
        <w:t>Natychmiastowy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🔴 Problem 4 — Brak wymaganego bannera zgody (ryzyko RODO)</w:t>
      </w:r>
    </w:p>
    <w:p>
      <w:pPr>
        <w:spacing w:after="80"/>
      </w:pPr>
      <w:r>
        <w:rPr>
          <w:sz w:val="20"/>
        </w:rPr>
        <w:t>Sklep ma technicznie poprawnie skonfigurowany system zgód (Consent Mode), ale</w:t>
      </w:r>
      <w:r>
        <w:rPr>
          <w:b/>
          <w:sz w:val="20"/>
        </w:rPr>
        <w:t>baner cookie nie wyświetla się użytkownikom</w:t>
      </w:r>
      <w:r>
        <w:rPr>
          <w:sz w:val="20"/>
        </w:rPr>
        <w:t>. Oznacza to że odwiedzający stronę nie mają możliwości ani wyrażenia, ani odmówienia zgody na przetwarzanie danych.</w:t>
      </w:r>
    </w:p>
    <w:p>
      <w:pPr>
        <w:spacing w:after="80"/>
      </w:pPr>
      <w:r>
        <w:rPr>
          <w:sz w:val="20"/>
        </w:rPr>
        <w:t>Jest to niezgodne z RODO i polską ustawą o ochronie danych osobowych. Inspekcja UODO może nałożyć karę do</w:t>
      </w:r>
      <w:r>
        <w:rPr>
          <w:b/>
          <w:sz w:val="20"/>
        </w:rPr>
        <w:t>20 mln EUR lub 4% rocznego obrotu</w:t>
      </w:r>
      <w:r>
        <w:rPr>
          <w:sz w:val="20"/>
        </w:rPr>
        <w:t>(cokolwiek jest wyższe). Moduł GDPR jest zainstalowany w sklepie — wymaga technicznej naprawy konfiguracji.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koszt:</w:t>
      </w:r>
      <w:r>
        <w:rPr>
          <w:sz w:val="20"/>
        </w:rPr>
        <w:t>Ryzyko kary do 20 mln EUR |</w:t>
      </w:r>
      <w:r>
        <w:rPr>
          <w:b/>
          <w:sz w:val="20"/>
        </w:rPr>
        <w:t>Priorytet:</w:t>
      </w:r>
      <w:r>
        <w:rPr>
          <w:sz w:val="20"/>
        </w:rPr>
        <w:t>Natychmiastowy</w:t>
      </w:r>
    </w:p>
    <w:p>
      <w:pPr>
        <w:spacing w:after="80"/>
      </w:pPr>
    </w:p>
    <w:p>
      <w:pPr>
        <w:spacing w:before="120" w:after="80"/>
      </w:pPr>
      <w:r>
        <w:rPr>
          <w:b/>
          <w:color w:val="0F3D66"/>
          <w:sz w:val="22"/>
        </w:rPr>
        <w:t>🟡 Problem 5 — Tylko 1 na 3 klientów finalizuje zakup</w:t>
      </w:r>
    </w:p>
    <w:p>
      <w:pPr>
        <w:spacing w:after="80"/>
      </w:pPr>
      <w:r>
        <w:rPr>
          <w:sz w:val="20"/>
        </w:rPr>
        <w:t>Z klientów którzy</w:t>
      </w:r>
      <w:r>
        <w:rPr>
          <w:b/>
          <w:sz w:val="20"/>
        </w:rPr>
        <w:t>zaczęli realizację zamówienia</w:t>
      </w:r>
      <w:r>
        <w:rPr>
          <w:sz w:val="20"/>
        </w:rPr>
        <w:t>, tylko</w:t>
      </w:r>
      <w:r>
        <w:rPr>
          <w:b/>
          <w:sz w:val="20"/>
        </w:rPr>
        <w:t>31,9% doprowadza ją do końca</w:t>
      </w:r>
      <w:r>
        <w:rPr>
          <w:sz w:val="20"/>
        </w:rPr>
        <w:t>(benchmark dla dobrych sklepów: 50-80%). Oznacza to że 68% klientów, którzy dotarli do kasy i zaczęli składać zamówienie, porzuca ten proces.</w:t>
      </w:r>
    </w:p>
    <w:p>
      <w:pPr>
        <w:spacing w:after="80"/>
      </w:pPr>
      <w:r>
        <w:rPr>
          <w:sz w:val="20"/>
        </w:rPr>
        <w:t>Przy obecnym poziomie sprzedaży (515 556 PLN/msc): poprawa finalizacji zamówień z 32% do 50% mogłaby przełożyć się na</w:t>
      </w:r>
      <w:r>
        <w:rPr>
          <w:b/>
          <w:sz w:val="20"/>
        </w:rPr>
        <w:t>+123 000 PLN/msc dodatkowego przychodu</w:t>
      </w:r>
      <w:r>
        <w:rPr>
          <w:sz w:val="20"/>
        </w:rPr>
        <w:t>bez zwiększania budżetu reklamowego.</w:t>
      </w:r>
    </w:p>
    <w:p>
      <w:pPr>
        <w:spacing w:after="80"/>
      </w:pPr>
      <w:r>
        <w:rPr>
          <w:sz w:val="20"/>
        </w:rPr>
        <w:t>Możliwe przyczyny: zbyt wiele kroków w procesie zamówienia, brak preferowanych metod płatności, wymaganie zakładania konta, koszty dostawy widoczne zbyt późno.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Szacowany potencjał:</w:t>
      </w:r>
      <w:r>
        <w:rPr>
          <w:sz w:val="20"/>
        </w:rPr>
        <w:t>+123 000 PLN/msc |</w:t>
      </w:r>
      <w:r>
        <w:rPr>
          <w:b/>
          <w:sz w:val="20"/>
        </w:rPr>
        <w:t>Priorytet:</w:t>
      </w:r>
      <w:r>
        <w:rPr>
          <w:sz w:val="20"/>
        </w:rPr>
        <w:t>Miesiąc 1</w:t>
      </w:r>
    </w:p>
    <w:p>
      <w:pPr>
        <w:spacing w:after="80"/>
      </w:pPr>
    </w:p>
    <w:p>
      <w:pPr>
        <w:spacing w:after="80"/>
      </w:pPr>
      <w:r>
        <w:rPr>
          <w:sz w:val="20"/>
        </w:rPr>
      </w:r>
      <w:r>
        <w:rPr>
          <w:b/>
          <w:sz w:val="20"/>
        </w:rPr>
        <w:t>Łączny szacowany koszt problemów 1–4:</w:t>
      </w:r>
      <w:r>
        <w:rPr>
          <w:sz w:val="20"/>
        </w:rPr>
        <w:t>Niepoliczalny bezpośrednio (błędne dane uniemożliwiają wycenę) + ryzyko kary RODO do 20 mln EUR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Łączny potencjał optymalizacji (problem 5):</w:t>
      </w:r>
      <w:r>
        <w:rPr>
          <w:sz w:val="20"/>
        </w:rPr>
        <w:t>+123 000 PLN/msc (+1,48 mln PLN/rok)</w:t>
      </w:r>
    </w:p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Plan działania</w:t>
      </w:r>
    </w:p>
    <w:p>
      <w:pPr>
        <w:spacing w:before="120" w:after="80"/>
      </w:pPr>
      <w:r>
        <w:rPr>
          <w:b/>
          <w:color w:val="0F3D66"/>
          <w:sz w:val="22"/>
        </w:rPr>
        <w:t>🔴 Natychmiast (0–7 dni) — zatamowanie strat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Usunąć jeden z dwóch "liczników" GA4 z kodu HTML sklepu (zostawić tylko ten przez Google Tag Manager)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Naprawia duplikację danych — ratio 3.83x → 1.0x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Deweloper PrestaShop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Naprawić sposób pobierania numeru zamówienia na stronie potwierdzenia (pobierać tylko cyfrę, nie cały URL)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72% zamówień z poprawnym ID → pełna analiza transakcji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Deweloper PrestaShop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Dodać dane produktowe do systemu śledzenia na stronie potwierdzenia zamówienia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Odblokowanie analizy produktowej i optymalizacji kampanii Shopping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Deweloper PrestaShop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Naprawić lub wymienić moduł zgody cookie (psgdpr) tak aby baner wyświetlał się użytkownikom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Compliance RODO — eliminacja ryzyka kary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Deweloper / Agencja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🟡 Miesiąc 1 — optymalizacja i naprawa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Wykluczyć Klarna i webmaile (wp.pl, onet.pl, interia.pl, o2.pl) ze źródeł "referral" w GA4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Prawidłowa atrybucja zakupów do kanałów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Analityk / Agencja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Ujednolicić oznaczenia UTM w kampaniach Meta Ads (1 format zamiast 6 wariantów)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Spójne raporty Facebook Ads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Agencja Meta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Analiza i optymalizacja procesu realizacji zamówienia (UX kasy)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Potencjał +123 000 PLN/msc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UX / Deweloper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Dodanie "add_to_cart" i "begin_checkout" jako celów konwersji w GA4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Lepsza optymalizacja kampanii reklamowych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Analityk</w:t>
            </w:r>
          </w:p>
        </w:tc>
      </w:tr>
    </w:tbl>
    <w:p/>
    <w:p>
      <w:pPr>
        <w:spacing w:before="120" w:after="80"/>
      </w:pPr>
      <w:r>
        <w:rPr>
          <w:b/>
          <w:color w:val="0F3D66"/>
          <w:sz w:val="22"/>
        </w:rPr>
        <w:t>🟢 Miesiąc 2–3 — skalowanie i strategia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Działanie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Efekt szacowany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Kto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Uruchomienie raportów produktowych po naprawie danych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Identyfikacja top produktów → skalowanie sprzedaży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Analityk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Przegląd i optymalizacja kampanii PMax (Cross-network = 39% ruchu, CR 0,20%)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Poprawa efektywności budżetu reklamowego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Agencja Google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Skalowanie email marketingu eDrone (CR 1,02% — najwyższy z kanałów)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Wzrost sprzedaży bez zwiększania budżetu reklamowego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7"/>
              </w:rPr>
              <w:t>Email marketing</w:t>
            </w:r>
          </w:p>
        </w:tc>
      </w:tr>
    </w:tbl>
    <w:p/>
    <w:p>
      <w:pPr>
        <w:spacing w:after="80"/>
      </w:pPr>
    </w:p>
    <w:p>
      <w:pPr>
        <w:spacing w:before="200" w:after="80"/>
      </w:pPr>
      <w:r>
        <w:rPr>
          <w:b/>
          <w:color w:val="16213E"/>
          <w:sz w:val="26"/>
        </w:rPr>
        <w:t>Kluczowe wskaźniki do monitorowania (po naprawie)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Wskaźnik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Obecny wynik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Cel (3 miesiące)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Ratio purchase:transakcja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3,83x 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≤1,1x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% zamówień z poprawnym 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27,5% 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&gt;95%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itemsPurchased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 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&gt;0 (rzeczywiste)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Finalizacja kasy (checkout → zakup)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31,9% 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≥50% 🎯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% (not set) w źródłach ruchu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2,5% 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&lt;5%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Baner cookie wyświetlany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Nie 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Tak 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CR (współczynnik konwersji)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0,13% 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≥0,40% 🎯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AOV (średnia wartość zamówienia)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1 249 PLN 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7"/>
              </w:rPr>
              <w:t>≥1 249 PLN</w:t>
            </w:r>
          </w:p>
        </w:tc>
      </w:tr>
    </w:tbl>
    <w:p/>
    <w:p>
      <w:pPr>
        <w:spacing w:after="80"/>
      </w:pPr>
    </w:p>
    <w:p>
      <w:pPr>
        <w:spacing w:after="80"/>
      </w:pPr>
      <w:r>
        <w:rPr>
          <w:sz w:val="20"/>
        </w:rPr>
        <w:t>Pełna dokumentacja techniczna z uzasadnieniem każdego wniosku → raport szczegółowy: 20260407_cc_patricia_audyt.md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