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Audyt MarTech v2 — Patrizia by Aryton</w:t>
      </w:r>
    </w:p>
    <w:p>
      <w:pPr>
        <w:jc w:val="center"/>
      </w:pPr>
      <w:r>
        <w:rPr>
          <w:color w:val="555555"/>
          <w:sz w:val="24"/>
        </w:rPr>
        <w:t>Raport Szczegolowy | Kwiecien 2026</w:t>
      </w:r>
    </w:p>
    <w:p/>
    <w:p>
      <w:pPr>
        <w:spacing w:before="200" w:after="80"/>
      </w:pPr>
      <w:r>
        <w:rPr>
          <w:b/>
          <w:color w:val="1A1A2E"/>
          <w:sz w:val="32"/>
        </w:rPr>
        <w:t>Raport Audytu MarTech v2 — Patrizia by Aryton</w:t>
      </w:r>
    </w:p>
    <w:p>
      <w:pPr>
        <w:spacing w:after="80"/>
      </w:pPr>
      <w:r>
        <w:rPr>
          <w:sz w:val="20"/>
        </w:rPr>
      </w:r>
      <w:r>
        <w:rPr>
          <w:b/>
          <w:sz w:val="20"/>
        </w:rPr>
        <w:t>Data:</w:t>
      </w:r>
      <w:r>
        <w:rPr>
          <w:sz w:val="20"/>
        </w:rPr>
        <w:t>2026-04-09</w:t>
      </w:r>
    </w:p>
    <w:p>
      <w:pPr>
        <w:spacing w:after="80"/>
      </w:pPr>
      <w:r>
        <w:rPr>
          <w:sz w:val="20"/>
        </w:rPr>
      </w:r>
      <w:r>
        <w:rPr>
          <w:b/>
          <w:sz w:val="20"/>
        </w:rPr>
        <w:t>Audytor:</w:t>
      </w:r>
      <w:r>
        <w:rPr>
          <w:sz w:val="20"/>
        </w:rPr>
        <w:t>Adrian Andrzejczyk</w:t>
      </w:r>
    </w:p>
    <w:p>
      <w:pPr>
        <w:spacing w:after="80"/>
      </w:pPr>
      <w:r>
        <w:rPr>
          <w:sz w:val="20"/>
        </w:rPr>
      </w:r>
      <w:r>
        <w:rPr>
          <w:b/>
          <w:sz w:val="20"/>
        </w:rPr>
        <w:t>GA4 Property:</w:t>
      </w:r>
      <w:r>
        <w:rPr>
          <w:sz w:val="20"/>
        </w:rPr>
        <w:t>patrizia.aryton.pl — G-93NK3C48R3 (ID: 326801658)</w:t>
      </w:r>
    </w:p>
    <w:p>
      <w:pPr>
        <w:spacing w:after="80"/>
      </w:pPr>
      <w:r>
        <w:rPr>
          <w:sz w:val="20"/>
        </w:rPr>
      </w:r>
      <w:r>
        <w:rPr>
          <w:b/>
          <w:sz w:val="20"/>
        </w:rPr>
        <w:t>GTM Container:</w:t>
      </w:r>
      <w:r>
        <w:rPr>
          <w:sz w:val="20"/>
        </w:rPr>
        <w:t>GTM-MDGSP8</w:t>
      </w:r>
    </w:p>
    <w:p>
      <w:pPr>
        <w:spacing w:after="80"/>
      </w:pPr>
      <w:r>
        <w:rPr>
          <w:sz w:val="20"/>
        </w:rPr>
      </w:r>
      <w:r>
        <w:rPr>
          <w:b/>
          <w:sz w:val="20"/>
        </w:rPr>
        <w:t>Google Ads:</w:t>
      </w:r>
      <w:r>
        <w:rPr>
          <w:sz w:val="20"/>
        </w:rPr>
        <w:t>196-867-6668</w:t>
      </w:r>
    </w:p>
    <w:p>
      <w:pPr>
        <w:spacing w:after="80"/>
      </w:pPr>
      <w:r>
        <w:rPr>
          <w:sz w:val="20"/>
        </w:rPr>
      </w:r>
      <w:r>
        <w:rPr>
          <w:b/>
          <w:sz w:val="20"/>
        </w:rPr>
        <w:t>BigQuery:</w:t>
      </w:r>
      <w:r>
        <w:rPr>
          <w:sz w:val="20"/>
        </w:rPr>
        <w:t>dane-z-ga4-aryton-pl</w:t>
      </w:r>
    </w:p>
    <w:p>
      <w:pPr>
        <w:spacing w:after="80"/>
      </w:pPr>
      <w:r>
        <w:rPr>
          <w:sz w:val="20"/>
        </w:rPr>
      </w:r>
      <w:r>
        <w:rPr>
          <w:b/>
          <w:sz w:val="20"/>
        </w:rPr>
        <w:t>URL:</w:t>
      </w:r>
      <w:r>
        <w:rPr>
          <w:sz w:val="20"/>
        </w:rPr>
        <w:t>https://patrizia.aryton.pl/</w:t>
      </w:r>
    </w:p>
    <w:p>
      <w:pPr>
        <w:spacing w:after="80"/>
      </w:pPr>
      <w:r>
        <w:rPr>
          <w:sz w:val="20"/>
        </w:rPr>
      </w:r>
      <w:r>
        <w:rPr>
          <w:b/>
          <w:sz w:val="20"/>
        </w:rPr>
        <w:t>Platforma:</w:t>
      </w:r>
      <w:r>
        <w:rPr>
          <w:sz w:val="20"/>
        </w:rPr>
        <w:t>PrestaShop (potwierdzone z URL wzorców i struktury serwera)</w:t>
      </w:r>
    </w:p>
    <w:p>
      <w:pPr>
        <w:spacing w:after="80"/>
      </w:pPr>
      <w:r>
        <w:rPr>
          <w:sz w:val="20"/>
        </w:rPr>
      </w:r>
      <w:r>
        <w:rPr>
          <w:b/>
          <w:sz w:val="20"/>
        </w:rPr>
        <w:t>Typ biznesu:</w:t>
      </w:r>
      <w:r>
        <w:rPr>
          <w:sz w:val="20"/>
        </w:rPr>
        <w:t>E-commerce (odzież i akcesoria premium)</w:t>
      </w:r>
    </w:p>
    <w:p>
      <w:pPr>
        <w:spacing w:after="80"/>
      </w:pPr>
      <w:r>
        <w:rPr>
          <w:sz w:val="20"/>
        </w:rPr>
      </w:r>
      <w:r>
        <w:rPr>
          <w:b/>
          <w:sz w:val="20"/>
        </w:rPr>
        <w:t>CMP:</w:t>
      </w:r>
      <w:r>
        <w:rPr>
          <w:sz w:val="20"/>
        </w:rPr>
        <w:t>Cookiebot</w:t>
      </w:r>
    </w:p>
    <w:p>
      <w:pPr>
        <w:spacing w:after="80"/>
      </w:pPr>
      <w:r>
        <w:rPr>
          <w:sz w:val="20"/>
        </w:rPr>
      </w:r>
      <w:r>
        <w:rPr>
          <w:b/>
          <w:sz w:val="20"/>
        </w:rPr>
        <w:t>Okres bieżący:</w:t>
      </w:r>
      <w:r>
        <w:rPr>
          <w:sz w:val="20"/>
        </w:rPr>
        <w:t>9 marca – 8 kwietnia 2026</w:t>
      </w:r>
    </w:p>
    <w:p>
      <w:pPr>
        <w:spacing w:after="80"/>
      </w:pPr>
      <w:r>
        <w:rPr>
          <w:sz w:val="20"/>
        </w:rPr>
      </w:r>
      <w:r>
        <w:rPr>
          <w:b/>
          <w:sz w:val="20"/>
        </w:rPr>
        <w:t>Okres porównawczy (YoY):</w:t>
      </w:r>
      <w:r>
        <w:rPr>
          <w:sz w:val="20"/>
        </w:rPr>
        <w:t>10 marca – 9 kwietnia 2025</w:t>
      </w:r>
    </w:p>
    <w:p>
      <w:pPr>
        <w:ind w:left="567"/>
      </w:pPr>
      <w:r>
        <w:rPr>
          <w:i/>
          <w:color w:val="555555"/>
          <w:sz w:val="18"/>
        </w:rPr>
        <w:t>Uwaga v2: Niniejszy raport jest korektą audytu z 2026-04-07 (v1), który zawierał błędne konkluzje:</w:t>
      </w:r>
    </w:p>
    <w:p>
      <w:pPr>
        <w:ind w:left="567"/>
      </w:pPr>
      <w:r>
        <w:rPr>
          <w:i/>
          <w:color w:val="555555"/>
          <w:sz w:val="18"/>
        </w:rPr>
        <w:t>- v1 błędnie podał platformę jako "Shoper" → faktycznie PrestaShop</w:t>
      </w:r>
    </w:p>
    <w:p>
      <w:pPr>
        <w:ind w:left="567"/>
      </w:pPr>
      <w:r>
        <w:rPr>
          <w:i/>
          <w:color w:val="555555"/>
          <w:sz w:val="18"/>
        </w:rPr>
        <w:t>- v1 błędnie stwierdził "duplikaty transaction_id" → faktycznie malformed IDs (inna natura)</w:t>
      </w:r>
    </w:p>
    <w:p>
      <w:pPr>
        <w:ind w:left="567"/>
      </w:pPr>
      <w:r>
        <w:rPr>
          <w:i/>
          <w:color w:val="555555"/>
          <w:sz w:val="18"/>
        </w:rPr>
        <w:t>- v1 błędnie stwierdził "itemRevenue = 0 dla wszystkich produktów" → faktycznie 100 produktów ma dane</w:t>
      </w:r>
    </w:p>
    <w:p>
      <w:pPr>
        <w:spacing w:after="80"/>
      </w:pPr>
    </w:p>
    <w:p>
      <w:pPr>
        <w:spacing w:before="200" w:after="80"/>
      </w:pPr>
      <w:r>
        <w:rPr>
          <w:b/>
          <w:color w:val="16213E"/>
          <w:sz w:val="26"/>
        </w:rPr>
        <w:t>CZĘŚĆ I — PODSUMOWANIE WYKONAWCZE</w:t>
      </w:r>
    </w:p>
    <w:p>
      <w:pPr>
        <w:spacing w:before="120" w:after="80"/>
      </w:pPr>
      <w:r>
        <w:rPr>
          <w:b/>
          <w:color w:val="0F3D66"/>
          <w:sz w:val="22"/>
        </w:rPr>
        <w:t>Wyniki sekcji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t>Sekcja</w:t>
            </w:r>
          </w:p>
        </w:tc>
        <w:tc>
          <w:tcPr>
            <w:tcW w:type="dxa" w:w="1881"/>
            <w:shd w:val="clear" w:color="auto" w:fill="1a1a2e"/>
          </w:tcPr>
          <w:p>
            <w:pPr>
              <w:spacing w:before="40" w:after="40"/>
            </w:pPr>
            <w:r>
              <w:rPr>
                <w:b/>
                <w:color w:val="FFFFFF"/>
                <w:sz w:val="17"/>
              </w:rPr>
              <w:t>Uzyskane pkt</w:t>
            </w:r>
          </w:p>
        </w:tc>
        <w:tc>
          <w:tcPr>
            <w:tcW w:type="dxa" w:w="1881"/>
            <w:shd w:val="clear" w:color="auto" w:fill="1a1a2e"/>
          </w:tcPr>
          <w:p>
            <w:pPr>
              <w:spacing w:before="40" w:after="40"/>
            </w:pPr>
            <w:r>
              <w:rPr>
                <w:b/>
                <w:color w:val="FFFFFF"/>
                <w:sz w:val="17"/>
              </w:rPr>
              <w:t>Max pkt</w:t>
            </w:r>
          </w:p>
        </w:tc>
        <w:tc>
          <w:tcPr>
            <w:tcW w:type="dxa" w:w="1881"/>
            <w:shd w:val="clear" w:color="auto" w:fill="1a1a2e"/>
          </w:tcPr>
          <w:p>
            <w:pPr>
              <w:spacing w:before="40" w:after="40"/>
            </w:pPr>
            <w:r>
              <w:rPr>
                <w:b/>
                <w:color w:val="FFFFFF"/>
                <w:sz w:val="17"/>
              </w:rPr>
              <w:t>Wynik %</w:t>
            </w:r>
          </w:p>
        </w:tc>
        <w:tc>
          <w:tcPr>
            <w:tcW w:type="dxa" w:w="1881"/>
            <w:shd w:val="clear" w:color="auto" w:fill="1a1a2e"/>
          </w:tcPr>
          <w:p>
            <w:pPr>
              <w:spacing w:before="40" w:after="40"/>
            </w:pPr>
            <w:r>
              <w:rPr>
                <w:b/>
                <w:color w:val="FFFFFF"/>
                <w:sz w:val="17"/>
              </w:rPr>
              <w:t>Ocena</w:t>
            </w:r>
          </w:p>
        </w:tc>
      </w:tr>
      <w:tr>
        <w:tc>
          <w:tcPr>
            <w:tcW w:type="dxa" w:w="1881"/>
          </w:tcPr>
          <w:p>
            <w:pPr>
              <w:spacing w:before="40" w:after="40"/>
            </w:pPr>
            <w:r>
              <w:rPr>
                <w:sz w:val="17"/>
              </w:rPr>
              <w:t>1. Audyt Wstępny</w:t>
            </w:r>
          </w:p>
        </w:tc>
        <w:tc>
          <w:tcPr>
            <w:tcW w:type="dxa" w:w="1881"/>
          </w:tcPr>
          <w:p>
            <w:pPr>
              <w:spacing w:before="40" w:after="40"/>
            </w:pPr>
            <w:r>
              <w:rPr>
                <w:sz w:val="17"/>
              </w:rPr>
              <w:t>10</w:t>
            </w:r>
          </w:p>
        </w:tc>
        <w:tc>
          <w:tcPr>
            <w:tcW w:type="dxa" w:w="1881"/>
          </w:tcPr>
          <w:p>
            <w:pPr>
              <w:spacing w:before="40" w:after="40"/>
            </w:pPr>
            <w:r>
              <w:rPr>
                <w:sz w:val="17"/>
              </w:rPr>
              <w:t>36</w:t>
            </w:r>
          </w:p>
        </w:tc>
        <w:tc>
          <w:tcPr>
            <w:tcW w:type="dxa" w:w="1881"/>
          </w:tcPr>
          <w:p>
            <w:pPr>
              <w:spacing w:before="40" w:after="40"/>
            </w:pPr>
            <w:r>
              <w:rPr>
                <w:sz w:val="17"/>
              </w:rPr>
              <w:t>28%</w:t>
            </w:r>
          </w:p>
        </w:tc>
        <w:tc>
          <w:tcPr>
            <w:tcW w:type="dxa" w:w="1881"/>
          </w:tcPr>
          <w:p>
            <w:pPr>
              <w:spacing w:before="40" w:after="40"/>
            </w:pPr>
            <w:r>
              <w:rPr>
                <w:sz w:val="17"/>
              </w:rPr>
              <w:t>❌ Krytyczny</w:t>
            </w:r>
          </w:p>
        </w:tc>
      </w:tr>
      <w:tr>
        <w:tc>
          <w:tcPr>
            <w:tcW w:type="dxa" w:w="1881"/>
          </w:tcPr>
          <w:p>
            <w:pPr>
              <w:spacing w:before="40" w:after="40"/>
            </w:pPr>
            <w:r>
              <w:rPr>
                <w:sz w:val="17"/>
              </w:rPr>
              <w:t>2. ePrivacy / Consent Mode</w:t>
            </w:r>
          </w:p>
        </w:tc>
        <w:tc>
          <w:tcPr>
            <w:tcW w:type="dxa" w:w="1881"/>
          </w:tcPr>
          <w:p>
            <w:pPr>
              <w:spacing w:before="40" w:after="40"/>
            </w:pPr>
            <w:r>
              <w:rPr>
                <w:sz w:val="17"/>
              </w:rPr>
              <w:t>1</w:t>
            </w:r>
          </w:p>
        </w:tc>
        <w:tc>
          <w:tcPr>
            <w:tcW w:type="dxa" w:w="1881"/>
          </w:tcPr>
          <w:p>
            <w:pPr>
              <w:spacing w:before="40" w:after="40"/>
            </w:pPr>
            <w:r>
              <w:rPr>
                <w:sz w:val="17"/>
              </w:rPr>
              <w:t>45</w:t>
            </w:r>
          </w:p>
        </w:tc>
        <w:tc>
          <w:tcPr>
            <w:tcW w:type="dxa" w:w="1881"/>
          </w:tcPr>
          <w:p>
            <w:pPr>
              <w:spacing w:before="40" w:after="40"/>
            </w:pPr>
            <w:r>
              <w:rPr>
                <w:sz w:val="17"/>
              </w:rPr>
              <w:t>2%</w:t>
            </w:r>
          </w:p>
        </w:tc>
        <w:tc>
          <w:tcPr>
            <w:tcW w:type="dxa" w:w="1881"/>
          </w:tcPr>
          <w:p>
            <w:pPr>
              <w:spacing w:before="40" w:after="40"/>
            </w:pPr>
            <w:r>
              <w:rPr>
                <w:sz w:val="17"/>
              </w:rPr>
              <w:t>❌ Krytyczny</w:t>
            </w:r>
          </w:p>
        </w:tc>
      </w:tr>
      <w:tr>
        <w:tc>
          <w:tcPr>
            <w:tcW w:type="dxa" w:w="1881"/>
          </w:tcPr>
          <w:p>
            <w:pPr>
              <w:spacing w:before="40" w:after="40"/>
            </w:pPr>
            <w:r>
              <w:rPr>
                <w:sz w:val="17"/>
              </w:rPr>
              <w:t>3. Konfiguracja GA4/GTM</w:t>
            </w:r>
          </w:p>
        </w:tc>
        <w:tc>
          <w:tcPr>
            <w:tcW w:type="dxa" w:w="1881"/>
          </w:tcPr>
          <w:p>
            <w:pPr>
              <w:spacing w:before="40" w:after="40"/>
            </w:pPr>
            <w:r>
              <w:rPr>
                <w:sz w:val="17"/>
              </w:rPr>
              <w:t>15</w:t>
            </w:r>
          </w:p>
        </w:tc>
        <w:tc>
          <w:tcPr>
            <w:tcW w:type="dxa" w:w="1881"/>
          </w:tcPr>
          <w:p>
            <w:pPr>
              <w:spacing w:before="40" w:after="40"/>
            </w:pPr>
            <w:r>
              <w:rPr>
                <w:sz w:val="17"/>
              </w:rPr>
              <w:t>93</w:t>
            </w:r>
          </w:p>
        </w:tc>
        <w:tc>
          <w:tcPr>
            <w:tcW w:type="dxa" w:w="1881"/>
          </w:tcPr>
          <w:p>
            <w:pPr>
              <w:spacing w:before="40" w:after="40"/>
            </w:pPr>
            <w:r>
              <w:rPr>
                <w:sz w:val="17"/>
              </w:rPr>
              <w:t>16%</w:t>
            </w:r>
          </w:p>
        </w:tc>
        <w:tc>
          <w:tcPr>
            <w:tcW w:type="dxa" w:w="1881"/>
          </w:tcPr>
          <w:p>
            <w:pPr>
              <w:spacing w:before="40" w:after="40"/>
            </w:pPr>
            <w:r>
              <w:rPr>
                <w:sz w:val="17"/>
              </w:rPr>
              <w:t>❌ Krytyczny</w:t>
            </w:r>
          </w:p>
        </w:tc>
      </w:tr>
      <w:tr>
        <w:tc>
          <w:tcPr>
            <w:tcW w:type="dxa" w:w="1881"/>
          </w:tcPr>
          <w:p>
            <w:pPr>
              <w:spacing w:before="40" w:after="40"/>
            </w:pPr>
            <w:r>
              <w:rPr>
                <w:sz w:val="17"/>
              </w:rPr>
              <w:t>4. Data Quality</w:t>
            </w:r>
          </w:p>
        </w:tc>
        <w:tc>
          <w:tcPr>
            <w:tcW w:type="dxa" w:w="1881"/>
          </w:tcPr>
          <w:p>
            <w:pPr>
              <w:spacing w:before="40" w:after="40"/>
            </w:pPr>
            <w:r>
              <w:rPr>
                <w:sz w:val="17"/>
              </w:rPr>
              <w:t>30</w:t>
            </w:r>
          </w:p>
        </w:tc>
        <w:tc>
          <w:tcPr>
            <w:tcW w:type="dxa" w:w="1881"/>
          </w:tcPr>
          <w:p>
            <w:pPr>
              <w:spacing w:before="40" w:after="40"/>
            </w:pPr>
            <w:r>
              <w:rPr>
                <w:sz w:val="17"/>
              </w:rPr>
              <w:t>75</w:t>
            </w:r>
          </w:p>
        </w:tc>
        <w:tc>
          <w:tcPr>
            <w:tcW w:type="dxa" w:w="1881"/>
          </w:tcPr>
          <w:p>
            <w:pPr>
              <w:spacing w:before="40" w:after="40"/>
            </w:pPr>
            <w:r>
              <w:rPr>
                <w:sz w:val="17"/>
              </w:rPr>
              <w:t>40%</w:t>
            </w:r>
          </w:p>
        </w:tc>
        <w:tc>
          <w:tcPr>
            <w:tcW w:type="dxa" w:w="1881"/>
          </w:tcPr>
          <w:p>
            <w:pPr>
              <w:spacing w:before="40" w:after="40"/>
            </w:pPr>
            <w:r>
              <w:rPr>
                <w:sz w:val="17"/>
              </w:rPr>
              <w:t>❌ Krytyczny</w:t>
            </w:r>
          </w:p>
        </w:tc>
      </w:tr>
      <w:tr>
        <w:tc>
          <w:tcPr>
            <w:tcW w:type="dxa" w:w="1881"/>
          </w:tcPr>
          <w:p>
            <w:pPr>
              <w:spacing w:before="40" w:after="40"/>
            </w:pPr>
            <w:r>
              <w:rPr>
                <w:sz w:val="17"/>
              </w:rPr>
              <w:t>5. UTM</w:t>
            </w:r>
          </w:p>
        </w:tc>
        <w:tc>
          <w:tcPr>
            <w:tcW w:type="dxa" w:w="1881"/>
          </w:tcPr>
          <w:p>
            <w:pPr>
              <w:spacing w:before="40" w:after="40"/>
            </w:pPr>
            <w:r>
              <w:rPr>
                <w:sz w:val="17"/>
              </w:rPr>
              <w:t>9</w:t>
            </w:r>
          </w:p>
        </w:tc>
        <w:tc>
          <w:tcPr>
            <w:tcW w:type="dxa" w:w="1881"/>
          </w:tcPr>
          <w:p>
            <w:pPr>
              <w:spacing w:before="40" w:after="40"/>
            </w:pPr>
            <w:r>
              <w:rPr>
                <w:sz w:val="17"/>
              </w:rPr>
              <w:t>18</w:t>
            </w:r>
          </w:p>
        </w:tc>
        <w:tc>
          <w:tcPr>
            <w:tcW w:type="dxa" w:w="1881"/>
          </w:tcPr>
          <w:p>
            <w:pPr>
              <w:spacing w:before="40" w:after="40"/>
            </w:pPr>
            <w:r>
              <w:rPr>
                <w:sz w:val="17"/>
              </w:rPr>
              <w:t>50%</w:t>
            </w:r>
          </w:p>
        </w:tc>
        <w:tc>
          <w:tcPr>
            <w:tcW w:type="dxa" w:w="1881"/>
          </w:tcPr>
          <w:p>
            <w:pPr>
              <w:spacing w:before="40" w:after="40"/>
            </w:pPr>
            <w:r>
              <w:rPr>
                <w:sz w:val="17"/>
              </w:rPr>
              <w:t>⚠️ Wymaga poprawy</w:t>
            </w:r>
          </w:p>
        </w:tc>
      </w:tr>
      <w:tr>
        <w:tc>
          <w:tcPr>
            <w:tcW w:type="dxa" w:w="1881"/>
          </w:tcPr>
          <w:p>
            <w:pPr>
              <w:spacing w:before="40" w:after="40"/>
            </w:pPr>
            <w:r>
              <w:rPr>
                <w:sz w:val="17"/>
              </w:rPr>
              <w:t>6. BCG</w:t>
            </w:r>
          </w:p>
        </w:tc>
        <w:tc>
          <w:tcPr>
            <w:tcW w:type="dxa" w:w="1881"/>
          </w:tcPr>
          <w:p>
            <w:pPr>
              <w:spacing w:before="40" w:after="40"/>
            </w:pPr>
            <w:r>
              <w:rPr>
                <w:sz w:val="17"/>
              </w:rPr>
              <w:t>0</w:t>
            </w:r>
          </w:p>
        </w:tc>
        <w:tc>
          <w:tcPr>
            <w:tcW w:type="dxa" w:w="1881"/>
          </w:tcPr>
          <w:p>
            <w:pPr>
              <w:spacing w:before="40" w:after="40"/>
            </w:pPr>
            <w:r>
              <w:rPr>
                <w:sz w:val="17"/>
              </w:rPr>
              <w:t>12</w:t>
            </w:r>
          </w:p>
        </w:tc>
        <w:tc>
          <w:tcPr>
            <w:tcW w:type="dxa" w:w="1881"/>
          </w:tcPr>
          <w:p>
            <w:pPr>
              <w:spacing w:before="40" w:after="40"/>
            </w:pPr>
            <w:r>
              <w:rPr>
                <w:sz w:val="17"/>
              </w:rPr>
              <w:t>0%</w:t>
            </w:r>
          </w:p>
        </w:tc>
        <w:tc>
          <w:tcPr>
            <w:tcW w:type="dxa" w:w="1881"/>
          </w:tcPr>
          <w:p>
            <w:pPr>
              <w:spacing w:before="40" w:after="40"/>
            </w:pPr>
            <w:r>
              <w:rPr>
                <w:sz w:val="17"/>
              </w:rPr>
              <w:t>🔒 Brak dostępu Ads</w:t>
            </w:r>
          </w:p>
        </w:tc>
      </w:tr>
      <w:tr>
        <w:tc>
          <w:tcPr>
            <w:tcW w:type="dxa" w:w="1881"/>
          </w:tcPr>
          <w:p>
            <w:pPr>
              <w:spacing w:before="40" w:after="40"/>
            </w:pPr>
            <w:r>
              <w:rPr>
                <w:sz w:val="17"/>
              </w:rPr>
              <w:t>7. Lejki zakupowe</w:t>
            </w:r>
          </w:p>
        </w:tc>
        <w:tc>
          <w:tcPr>
            <w:tcW w:type="dxa" w:w="1881"/>
          </w:tcPr>
          <w:p>
            <w:pPr>
              <w:spacing w:before="40" w:after="40"/>
            </w:pPr>
            <w:r>
              <w:rPr>
                <w:sz w:val="17"/>
              </w:rPr>
              <w:t>2</w:t>
            </w:r>
          </w:p>
        </w:tc>
        <w:tc>
          <w:tcPr>
            <w:tcW w:type="dxa" w:w="1881"/>
          </w:tcPr>
          <w:p>
            <w:pPr>
              <w:spacing w:before="40" w:after="40"/>
            </w:pPr>
            <w:r>
              <w:rPr>
                <w:sz w:val="17"/>
              </w:rPr>
              <w:t>8</w:t>
            </w:r>
          </w:p>
        </w:tc>
        <w:tc>
          <w:tcPr>
            <w:tcW w:type="dxa" w:w="1881"/>
          </w:tcPr>
          <w:p>
            <w:pPr>
              <w:spacing w:before="40" w:after="40"/>
            </w:pPr>
            <w:r>
              <w:rPr>
                <w:sz w:val="17"/>
              </w:rPr>
              <w:t>25%</w:t>
            </w:r>
          </w:p>
        </w:tc>
        <w:tc>
          <w:tcPr>
            <w:tcW w:type="dxa" w:w="1881"/>
          </w:tcPr>
          <w:p>
            <w:pPr>
              <w:spacing w:before="40" w:after="40"/>
            </w:pPr>
            <w:r>
              <w:rPr>
                <w:sz w:val="17"/>
              </w:rPr>
              <w:t>❌ Krytyczny</w:t>
            </w:r>
          </w:p>
        </w:tc>
      </w:tr>
      <w:tr>
        <w:tc>
          <w:tcPr>
            <w:tcW w:type="dxa" w:w="1881"/>
          </w:tcPr>
          <w:p>
            <w:pPr>
              <w:spacing w:before="40" w:after="40"/>
            </w:pPr>
            <w:r>
              <w:rPr>
                <w:sz w:val="17"/>
              </w:rPr>
              <w:t>8. GA4 ↔ Google Ads</w:t>
            </w:r>
          </w:p>
        </w:tc>
        <w:tc>
          <w:tcPr>
            <w:tcW w:type="dxa" w:w="1881"/>
          </w:tcPr>
          <w:p>
            <w:pPr>
              <w:spacing w:before="40" w:after="40"/>
            </w:pPr>
            <w:r>
              <w:rPr>
                <w:sz w:val="17"/>
              </w:rPr>
              <w:t>3</w:t>
            </w:r>
          </w:p>
        </w:tc>
        <w:tc>
          <w:tcPr>
            <w:tcW w:type="dxa" w:w="1881"/>
          </w:tcPr>
          <w:p>
            <w:pPr>
              <w:spacing w:before="40" w:after="40"/>
            </w:pPr>
            <w:r>
              <w:rPr>
                <w:sz w:val="17"/>
              </w:rPr>
              <w:t>27</w:t>
            </w:r>
          </w:p>
        </w:tc>
        <w:tc>
          <w:tcPr>
            <w:tcW w:type="dxa" w:w="1881"/>
          </w:tcPr>
          <w:p>
            <w:pPr>
              <w:spacing w:before="40" w:after="40"/>
            </w:pPr>
            <w:r>
              <w:rPr>
                <w:sz w:val="17"/>
              </w:rPr>
              <w:t>11%</w:t>
            </w:r>
          </w:p>
        </w:tc>
        <w:tc>
          <w:tcPr>
            <w:tcW w:type="dxa" w:w="1881"/>
          </w:tcPr>
          <w:p>
            <w:pPr>
              <w:spacing w:before="40" w:after="40"/>
            </w:pPr>
            <w:r>
              <w:rPr>
                <w:sz w:val="17"/>
              </w:rPr>
              <w:t>🔒 Brak dostępu Ads</w:t>
            </w:r>
          </w:p>
        </w:tc>
      </w:tr>
      <w:tr>
        <w:tc>
          <w:tcPr>
            <w:tcW w:type="dxa" w:w="1881"/>
          </w:tcPr>
          <w:p>
            <w:pPr>
              <w:spacing w:before="40" w:after="40"/>
            </w:pPr>
            <w:r>
              <w:rPr>
                <w:sz w:val="17"/>
              </w:rPr>
              <w:t>9. Analiza danych</w:t>
            </w:r>
          </w:p>
        </w:tc>
        <w:tc>
          <w:tcPr>
            <w:tcW w:type="dxa" w:w="1881"/>
          </w:tcPr>
          <w:p>
            <w:pPr>
              <w:spacing w:before="40" w:after="40"/>
            </w:pPr>
            <w:r>
              <w:rPr>
                <w:sz w:val="17"/>
              </w:rPr>
              <w:t>4</w:t>
            </w:r>
          </w:p>
        </w:tc>
        <w:tc>
          <w:tcPr>
            <w:tcW w:type="dxa" w:w="1881"/>
          </w:tcPr>
          <w:p>
            <w:pPr>
              <w:spacing w:before="40" w:after="40"/>
            </w:pPr>
            <w:r>
              <w:rPr>
                <w:sz w:val="17"/>
              </w:rPr>
              <w:t>24</w:t>
            </w:r>
          </w:p>
        </w:tc>
        <w:tc>
          <w:tcPr>
            <w:tcW w:type="dxa" w:w="1881"/>
          </w:tcPr>
          <w:p>
            <w:pPr>
              <w:spacing w:before="40" w:after="40"/>
            </w:pPr>
            <w:r>
              <w:rPr>
                <w:sz w:val="17"/>
              </w:rPr>
              <w:t>17%</w:t>
            </w:r>
          </w:p>
        </w:tc>
        <w:tc>
          <w:tcPr>
            <w:tcW w:type="dxa" w:w="1881"/>
          </w:tcPr>
          <w:p>
            <w:pPr>
              <w:spacing w:before="40" w:after="40"/>
            </w:pPr>
            <w:r>
              <w:rPr>
                <w:sz w:val="17"/>
              </w:rPr>
              <w:t>❌ Krytyczny</w:t>
            </w:r>
          </w:p>
        </w:tc>
      </w:tr>
      <w:tr>
        <w:tc>
          <w:tcPr>
            <w:tcW w:type="dxa" w:w="1881"/>
          </w:tcPr>
          <w:p>
            <w:pPr>
              <w:spacing w:before="40" w:after="40"/>
            </w:pPr>
            <w:r>
              <w:rPr>
                <w:sz w:val="17"/>
              </w:rPr>
              <w:t>10. Google Ads</w:t>
            </w:r>
          </w:p>
        </w:tc>
        <w:tc>
          <w:tcPr>
            <w:tcW w:type="dxa" w:w="1881"/>
          </w:tcPr>
          <w:p>
            <w:pPr>
              <w:spacing w:before="40" w:after="40"/>
            </w:pPr>
            <w:r>
              <w:rPr>
                <w:sz w:val="17"/>
              </w:rPr>
              <w:t>0</w:t>
            </w:r>
          </w:p>
        </w:tc>
        <w:tc>
          <w:tcPr>
            <w:tcW w:type="dxa" w:w="1881"/>
          </w:tcPr>
          <w:p>
            <w:pPr>
              <w:spacing w:before="40" w:after="40"/>
            </w:pPr>
            <w:r>
              <w:rPr>
                <w:sz w:val="17"/>
              </w:rPr>
              <w:t>81</w:t>
            </w:r>
          </w:p>
        </w:tc>
        <w:tc>
          <w:tcPr>
            <w:tcW w:type="dxa" w:w="1881"/>
          </w:tcPr>
          <w:p>
            <w:pPr>
              <w:spacing w:before="40" w:after="40"/>
            </w:pPr>
            <w:r>
              <w:rPr>
                <w:sz w:val="17"/>
              </w:rPr>
              <w:t>0%</w:t>
            </w:r>
          </w:p>
        </w:tc>
        <w:tc>
          <w:tcPr>
            <w:tcW w:type="dxa" w:w="1881"/>
          </w:tcPr>
          <w:p>
            <w:pPr>
              <w:spacing w:before="40" w:after="40"/>
            </w:pPr>
            <w:r>
              <w:rPr>
                <w:sz w:val="17"/>
              </w:rPr>
              <w:t>🔒 Brak dostępu</w:t>
            </w:r>
          </w:p>
        </w:tc>
      </w:tr>
      <w:tr>
        <w:tc>
          <w:tcPr>
            <w:tcW w:type="dxa" w:w="1881"/>
          </w:tcPr>
          <w:p>
            <w:pPr>
              <w:spacing w:before="40" w:after="40"/>
            </w:pPr>
            <w:r>
              <w:rPr>
                <w:sz w:val="17"/>
              </w:rPr>
              <w:t>ŁĄCZNIE (bez sek. 10)</w:t>
            </w:r>
          </w:p>
        </w:tc>
        <w:tc>
          <w:tcPr>
            <w:tcW w:type="dxa" w:w="1881"/>
          </w:tcPr>
          <w:p>
            <w:pPr>
              <w:spacing w:before="40" w:after="40"/>
            </w:pPr>
            <w:r>
              <w:rPr>
                <w:sz w:val="17"/>
              </w:rPr>
              <w:t>74</w:t>
            </w:r>
          </w:p>
        </w:tc>
        <w:tc>
          <w:tcPr>
            <w:tcW w:type="dxa" w:w="1881"/>
          </w:tcPr>
          <w:p>
            <w:pPr>
              <w:spacing w:before="40" w:after="40"/>
            </w:pPr>
            <w:r>
              <w:rPr>
                <w:sz w:val="17"/>
              </w:rPr>
              <w:t>338</w:t>
            </w:r>
          </w:p>
        </w:tc>
        <w:tc>
          <w:tcPr>
            <w:tcW w:type="dxa" w:w="1881"/>
          </w:tcPr>
          <w:p>
            <w:pPr>
              <w:spacing w:before="40" w:after="40"/>
            </w:pPr>
            <w:r>
              <w:rPr>
                <w:sz w:val="17"/>
              </w:rPr>
              <w:t>22%</w:t>
            </w:r>
          </w:p>
        </w:tc>
        <w:tc>
          <w:tcPr>
            <w:tcW w:type="dxa" w:w="1881"/>
          </w:tcPr>
          <w:p>
            <w:pPr>
              <w:spacing w:before="40" w:after="40"/>
            </w:pPr>
            <w:r>
              <w:rPr>
                <w:sz w:val="17"/>
              </w:rPr>
              <w:t>❌ Krytyczny</w:t>
            </w:r>
          </w:p>
        </w:tc>
      </w:tr>
    </w:tbl>
    <w:p/>
    <w:p>
      <w:pPr>
        <w:spacing w:after="80"/>
      </w:pPr>
    </w:p>
    <w:p>
      <w:pPr>
        <w:spacing w:before="120" w:after="80"/>
      </w:pPr>
      <w:r>
        <w:rPr>
          <w:b/>
          <w:color w:val="0F3D66"/>
          <w:sz w:val="22"/>
        </w:rPr>
        <w:t>Wyniki rok do roku — ALARMUJĄCE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Metryka</w:t>
            </w:r>
          </w:p>
        </w:tc>
        <w:tc>
          <w:tcPr>
            <w:tcW w:type="dxa" w:w="2351"/>
            <w:shd w:val="clear" w:color="auto" w:fill="1a1a2e"/>
          </w:tcPr>
          <w:p>
            <w:pPr>
              <w:spacing w:before="40" w:after="40"/>
            </w:pPr>
            <w:r>
              <w:rPr>
                <w:b/>
                <w:color w:val="FFFFFF"/>
                <w:sz w:val="17"/>
              </w:rPr>
              <w:t>Kwi 2026</w:t>
            </w:r>
          </w:p>
        </w:tc>
        <w:tc>
          <w:tcPr>
            <w:tcW w:type="dxa" w:w="2351"/>
            <w:shd w:val="clear" w:color="auto" w:fill="1a1a2e"/>
          </w:tcPr>
          <w:p>
            <w:pPr>
              <w:spacing w:before="40" w:after="40"/>
            </w:pPr>
            <w:r>
              <w:rPr>
                <w:b/>
                <w:color w:val="FFFFFF"/>
                <w:sz w:val="17"/>
              </w:rPr>
              <w:t>Kwi 2025</w:t>
            </w:r>
          </w:p>
        </w:tc>
        <w:tc>
          <w:tcPr>
            <w:tcW w:type="dxa" w:w="2351"/>
            <w:shd w:val="clear" w:color="auto" w:fill="1a1a2e"/>
          </w:tcPr>
          <w:p>
            <w:pPr>
              <w:spacing w:before="40" w:after="40"/>
            </w:pPr>
            <w:r>
              <w:rPr>
                <w:b/>
                <w:color w:val="FFFFFF"/>
                <w:sz w:val="17"/>
              </w:rPr>
              <w:t>Zmiana</w:t>
            </w:r>
          </w:p>
        </w:tc>
      </w:tr>
      <w:tr>
        <w:tc>
          <w:tcPr>
            <w:tcW w:type="dxa" w:w="2351"/>
          </w:tcPr>
          <w:p>
            <w:pPr>
              <w:spacing w:before="40" w:after="40"/>
            </w:pPr>
            <w:r>
              <w:rPr>
                <w:sz w:val="17"/>
              </w:rPr>
              <w:t>Sesje</w:t>
            </w:r>
          </w:p>
        </w:tc>
        <w:tc>
          <w:tcPr>
            <w:tcW w:type="dxa" w:w="2351"/>
          </w:tcPr>
          <w:p>
            <w:pPr>
              <w:spacing w:before="40" w:after="40"/>
            </w:pPr>
            <w:r>
              <w:rPr>
                <w:sz w:val="17"/>
              </w:rPr>
              <w:t>330 296</w:t>
            </w:r>
          </w:p>
        </w:tc>
        <w:tc>
          <w:tcPr>
            <w:tcW w:type="dxa" w:w="2351"/>
          </w:tcPr>
          <w:p>
            <w:pPr>
              <w:spacing w:before="40" w:after="40"/>
            </w:pPr>
            <w:r>
              <w:rPr>
                <w:sz w:val="17"/>
              </w:rPr>
              <w:t>438 646</w:t>
            </w:r>
          </w:p>
        </w:tc>
        <w:tc>
          <w:tcPr>
            <w:tcW w:type="dxa" w:w="2351"/>
          </w:tcPr>
          <w:p>
            <w:pPr>
              <w:spacing w:before="40" w:after="40"/>
            </w:pPr>
            <w:r>
              <w:rPr>
                <w:sz w:val="17"/>
              </w:rPr>
              <w:t>-24.7%</w:t>
            </w:r>
          </w:p>
        </w:tc>
      </w:tr>
      <w:tr>
        <w:tc>
          <w:tcPr>
            <w:tcW w:type="dxa" w:w="2351"/>
          </w:tcPr>
          <w:p>
            <w:pPr>
              <w:spacing w:before="40" w:after="40"/>
            </w:pPr>
            <w:r>
              <w:rPr>
                <w:sz w:val="17"/>
              </w:rPr>
              <w:t>Transakcje</w:t>
            </w:r>
          </w:p>
        </w:tc>
        <w:tc>
          <w:tcPr>
            <w:tcW w:type="dxa" w:w="2351"/>
          </w:tcPr>
          <w:p>
            <w:pPr>
              <w:spacing w:before="40" w:after="40"/>
            </w:pPr>
            <w:r>
              <w:rPr>
                <w:sz w:val="17"/>
              </w:rPr>
              <w:t>427</w:t>
            </w:r>
          </w:p>
        </w:tc>
        <w:tc>
          <w:tcPr>
            <w:tcW w:type="dxa" w:w="2351"/>
          </w:tcPr>
          <w:p>
            <w:pPr>
              <w:spacing w:before="40" w:after="40"/>
            </w:pPr>
            <w:r>
              <w:rPr>
                <w:sz w:val="17"/>
              </w:rPr>
              <w:t>1 495</w:t>
            </w:r>
          </w:p>
        </w:tc>
        <w:tc>
          <w:tcPr>
            <w:tcW w:type="dxa" w:w="2351"/>
          </w:tcPr>
          <w:p>
            <w:pPr>
              <w:spacing w:before="40" w:after="40"/>
            </w:pPr>
            <w:r>
              <w:rPr>
                <w:sz w:val="17"/>
              </w:rPr>
              <w:t>-71.4%</w:t>
            </w:r>
          </w:p>
        </w:tc>
      </w:tr>
      <w:tr>
        <w:tc>
          <w:tcPr>
            <w:tcW w:type="dxa" w:w="2351"/>
          </w:tcPr>
          <w:p>
            <w:pPr>
              <w:spacing w:before="40" w:after="40"/>
            </w:pPr>
            <w:r>
              <w:rPr>
                <w:sz w:val="17"/>
              </w:rPr>
              <w:t>Przychód</w:t>
            </w:r>
          </w:p>
        </w:tc>
        <w:tc>
          <w:tcPr>
            <w:tcW w:type="dxa" w:w="2351"/>
          </w:tcPr>
          <w:p>
            <w:pPr>
              <w:spacing w:before="40" w:after="40"/>
            </w:pPr>
            <w:r>
              <w:rPr>
                <w:sz w:val="17"/>
              </w:rPr>
              <w:t>529 914 PLN</w:t>
            </w:r>
          </w:p>
        </w:tc>
        <w:tc>
          <w:tcPr>
            <w:tcW w:type="dxa" w:w="2351"/>
          </w:tcPr>
          <w:p>
            <w:pPr>
              <w:spacing w:before="40" w:after="40"/>
            </w:pPr>
            <w:r>
              <w:rPr>
                <w:sz w:val="17"/>
              </w:rPr>
              <w:t>1 856 701 PLN</w:t>
            </w:r>
          </w:p>
        </w:tc>
        <w:tc>
          <w:tcPr>
            <w:tcW w:type="dxa" w:w="2351"/>
          </w:tcPr>
          <w:p>
            <w:pPr>
              <w:spacing w:before="40" w:after="40"/>
            </w:pPr>
            <w:r>
              <w:rPr>
                <w:sz w:val="17"/>
              </w:rPr>
              <w:t>-71.5%</w:t>
            </w:r>
          </w:p>
        </w:tc>
      </w:tr>
      <w:tr>
        <w:tc>
          <w:tcPr>
            <w:tcW w:type="dxa" w:w="2351"/>
          </w:tcPr>
          <w:p>
            <w:pPr>
              <w:spacing w:before="40" w:after="40"/>
            </w:pPr>
            <w:r>
              <w:rPr>
                <w:sz w:val="17"/>
              </w:rPr>
              <w:t>AOV (wartość zamówienia)</w:t>
            </w:r>
          </w:p>
        </w:tc>
        <w:tc>
          <w:tcPr>
            <w:tcW w:type="dxa" w:w="2351"/>
          </w:tcPr>
          <w:p>
            <w:pPr>
              <w:spacing w:before="40" w:after="40"/>
            </w:pPr>
            <w:r>
              <w:rPr>
                <w:sz w:val="17"/>
              </w:rPr>
              <w:t>1 241 PLN</w:t>
            </w:r>
          </w:p>
        </w:tc>
        <w:tc>
          <w:tcPr>
            <w:tcW w:type="dxa" w:w="2351"/>
          </w:tcPr>
          <w:p>
            <w:pPr>
              <w:spacing w:before="40" w:after="40"/>
            </w:pPr>
            <w:r>
              <w:rPr>
                <w:sz w:val="17"/>
              </w:rPr>
              <w:t>1 242 PLN</w:t>
            </w:r>
          </w:p>
        </w:tc>
        <w:tc>
          <w:tcPr>
            <w:tcW w:type="dxa" w:w="2351"/>
          </w:tcPr>
          <w:p>
            <w:pPr>
              <w:spacing w:before="40" w:after="40"/>
            </w:pPr>
            <w:r>
              <w:rPr>
                <w:sz w:val="17"/>
              </w:rPr>
              <w:t>≈0%</w:t>
            </w:r>
          </w:p>
        </w:tc>
      </w:tr>
      <w:tr>
        <w:tc>
          <w:tcPr>
            <w:tcW w:type="dxa" w:w="2351"/>
          </w:tcPr>
          <w:p>
            <w:pPr>
              <w:spacing w:before="40" w:after="40"/>
            </w:pPr>
            <w:r>
              <w:rPr>
                <w:sz w:val="17"/>
              </w:rPr>
              <w:t>CR (konwersja)</w:t>
            </w:r>
          </w:p>
        </w:tc>
        <w:tc>
          <w:tcPr>
            <w:tcW w:type="dxa" w:w="2351"/>
          </w:tcPr>
          <w:p>
            <w:pPr>
              <w:spacing w:before="40" w:after="40"/>
            </w:pPr>
            <w:r>
              <w:rPr>
                <w:sz w:val="17"/>
              </w:rPr>
              <w:t>0.129%</w:t>
            </w:r>
          </w:p>
        </w:tc>
        <w:tc>
          <w:tcPr>
            <w:tcW w:type="dxa" w:w="2351"/>
          </w:tcPr>
          <w:p>
            <w:pPr>
              <w:spacing w:before="40" w:after="40"/>
            </w:pPr>
            <w:r>
              <w:rPr>
                <w:sz w:val="17"/>
              </w:rPr>
              <w:t>0.341%</w:t>
            </w:r>
          </w:p>
        </w:tc>
        <w:tc>
          <w:tcPr>
            <w:tcW w:type="dxa" w:w="2351"/>
          </w:tcPr>
          <w:p>
            <w:pPr>
              <w:spacing w:before="40" w:after="40"/>
            </w:pPr>
            <w:r>
              <w:rPr>
                <w:sz w:val="17"/>
              </w:rPr>
              <w:t>-62%</w:t>
            </w:r>
          </w:p>
        </w:tc>
      </w:tr>
    </w:tbl>
    <w:p/>
    <w:p>
      <w:pPr>
        <w:spacing w:after="80"/>
      </w:pPr>
      <w:r>
        <w:rPr>
          <w:sz w:val="20"/>
        </w:rPr>
      </w:r>
      <w:r>
        <w:rPr>
          <w:b/>
          <w:sz w:val="20"/>
        </w:rPr>
        <w:t>Kluczowe spostrzeżenie:</w:t>
      </w:r>
      <w:r>
        <w:rPr>
          <w:sz w:val="20"/>
        </w:rPr>
        <w:t>Wartość średniego zamówienia (AOV) jest niemal identyczna rok do roku — to oznacza, że problem NIE LEŻY w cenach, kolekcji ani wartości produktu. Problem jest w liczbie kupujących, a dokładniej: w liczbie użytkowników, którzy docierają do sklepu i w tym, jak skutecznie strona i reklamy ich konwertują.</w:t>
      </w:r>
    </w:p>
    <w:p>
      <w:pPr>
        <w:spacing w:after="80"/>
      </w:pPr>
    </w:p>
    <w:p>
      <w:pPr>
        <w:spacing w:before="120" w:after="80"/>
      </w:pPr>
      <w:r>
        <w:rPr>
          <w:b/>
          <w:color w:val="0F3D66"/>
          <w:sz w:val="22"/>
        </w:rPr>
        <w:t>Jakość danych — CZY DANYM MOŻNA UFAĆ?</w:t>
      </w:r>
    </w:p>
    <w:p>
      <w:pPr>
        <w:spacing w:after="80"/>
      </w:pPr>
      <w:r>
        <w:rPr>
          <w:sz w:val="20"/>
        </w:rPr>
      </w:r>
      <w:r>
        <w:rPr>
          <w:b/>
          <w:sz w:val="20"/>
        </w:rPr>
        <w:t>Tak — dane o transakcjach i przychodzie są wiarygodne, ale dane o liczbie "eventów zakupu" są zaburzone.</w:t>
      </w:r>
      <w:r>
        <w:rPr>
          <w:sz w:val="20"/>
        </w:rPr>
      </w:r>
    </w:p>
    <w:p>
      <w:pPr>
        <w:spacing w:after="80"/>
      </w:pPr>
      <w:r>
        <w:rPr>
          <w:sz w:val="20"/>
        </w:rPr>
        <w:t>GA4 posiada mechanizm deduplicacji — każde zamówienie ze swoim unikalnym numerem jest liczone dokładnie raz w metryce transactions. Ta liczba (427 w bieżącym miesiącu) jest prawdziwa.</w:t>
      </w:r>
    </w:p>
    <w:p>
      <w:pPr>
        <w:spacing w:after="80"/>
      </w:pPr>
      <w:r>
        <w:rPr>
          <w:sz w:val="20"/>
        </w:rPr>
        <w:t>Jednak istnieje równoległy problem techniczny: system śledzi też 1 105 "fałszywych" eventów zakupu z błędnymi numerami zamówień oraz 89 eventów bez żadnego numeru. Łącznie daje to 1 610 eventów zamiast 427 — ratio 3.77×. To nie są duplikaty (każdy numer jest inny), ale błędne zdarzenia bez rzeczywistych zakupów. Ich wpływ na licznik prawdziwych transakcji = zero. Ale mają destrukcyjny wpływ na kampanie Google Ads.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Obszar</w:t>
            </w:r>
          </w:p>
        </w:tc>
        <w:tc>
          <w:tcPr>
            <w:tcW w:type="dxa" w:w="3135"/>
            <w:shd w:val="clear" w:color="auto" w:fill="1a1a2e"/>
          </w:tcPr>
          <w:p>
            <w:pPr>
              <w:spacing w:before="40" w:after="40"/>
            </w:pPr>
            <w:r>
              <w:rPr>
                <w:b/>
                <w:color w:val="FFFFFF"/>
                <w:sz w:val="17"/>
              </w:rPr>
              <w:t>Wiarygodność</w:t>
            </w:r>
          </w:p>
        </w:tc>
        <w:tc>
          <w:tcPr>
            <w:tcW w:type="dxa" w:w="3135"/>
            <w:shd w:val="clear" w:color="auto" w:fill="1a1a2e"/>
          </w:tcPr>
          <w:p>
            <w:pPr>
              <w:spacing w:before="40" w:after="40"/>
            </w:pPr>
            <w:r>
              <w:rPr>
                <w:b/>
                <w:color w:val="FFFFFF"/>
                <w:sz w:val="17"/>
              </w:rPr>
              <w:t>Uzasadnienie</w:t>
            </w:r>
          </w:p>
        </w:tc>
      </w:tr>
      <w:tr>
        <w:tc>
          <w:tcPr>
            <w:tcW w:type="dxa" w:w="3135"/>
          </w:tcPr>
          <w:p>
            <w:pPr>
              <w:spacing w:before="40" w:after="40"/>
            </w:pPr>
            <w:r>
              <w:rPr>
                <w:sz w:val="17"/>
              </w:rPr>
              <w:t>Liczba zamówień (transactions)</w:t>
            </w:r>
          </w:p>
        </w:tc>
        <w:tc>
          <w:tcPr>
            <w:tcW w:type="dxa" w:w="3135"/>
          </w:tcPr>
          <w:p>
            <w:pPr>
              <w:spacing w:before="40" w:after="40"/>
            </w:pPr>
            <w:r>
              <w:rPr>
                <w:sz w:val="17"/>
              </w:rPr>
              <w:t>✅ Wiarygodna</w:t>
            </w:r>
          </w:p>
        </w:tc>
        <w:tc>
          <w:tcPr>
            <w:tcW w:type="dxa" w:w="3135"/>
          </w:tcPr>
          <w:p>
            <w:pPr>
              <w:spacing w:before="40" w:after="40"/>
            </w:pPr>
            <w:r>
              <w:rPr>
                <w:sz w:val="17"/>
              </w:rPr>
              <w:t>GA4 deduplicuje po transaction_id; 427 to prawdziwa liczba</w:t>
            </w:r>
          </w:p>
        </w:tc>
      </w:tr>
      <w:tr>
        <w:tc>
          <w:tcPr>
            <w:tcW w:type="dxa" w:w="3135"/>
          </w:tcPr>
          <w:p>
            <w:pPr>
              <w:spacing w:before="40" w:after="40"/>
            </w:pPr>
            <w:r>
              <w:rPr>
                <w:sz w:val="17"/>
              </w:rPr>
              <w:t>Przychód (purchaseRevenue)</w:t>
            </w:r>
          </w:p>
        </w:tc>
        <w:tc>
          <w:tcPr>
            <w:tcW w:type="dxa" w:w="3135"/>
          </w:tcPr>
          <w:p>
            <w:pPr>
              <w:spacing w:before="40" w:after="40"/>
            </w:pPr>
            <w:r>
              <w:rPr>
                <w:sz w:val="17"/>
              </w:rPr>
              <w:t>✅ Wiarygodna</w:t>
            </w:r>
          </w:p>
        </w:tc>
        <w:tc>
          <w:tcPr>
            <w:tcW w:type="dxa" w:w="3135"/>
          </w:tcPr>
          <w:p>
            <w:pPr>
              <w:spacing w:before="40" w:after="40"/>
            </w:pPr>
            <w:r>
              <w:rPr>
                <w:sz w:val="17"/>
              </w:rPr>
              <w:t>529 914 PLN pochodzi wyłącznie z 427 prawdziwych zamówień</w:t>
            </w:r>
          </w:p>
        </w:tc>
      </w:tr>
      <w:tr>
        <w:tc>
          <w:tcPr>
            <w:tcW w:type="dxa" w:w="3135"/>
          </w:tcPr>
          <w:p>
            <w:pPr>
              <w:spacing w:before="40" w:after="40"/>
            </w:pPr>
            <w:r>
              <w:rPr>
                <w:sz w:val="17"/>
              </w:rPr>
              <w:t>Dane produktowe (itemRevenue)</w:t>
            </w:r>
          </w:p>
        </w:tc>
        <w:tc>
          <w:tcPr>
            <w:tcW w:type="dxa" w:w="3135"/>
          </w:tcPr>
          <w:p>
            <w:pPr>
              <w:spacing w:before="40" w:after="40"/>
            </w:pPr>
            <w:r>
              <w:rPr>
                <w:sz w:val="17"/>
              </w:rPr>
              <w:t>✅ Dostępne</w:t>
            </w:r>
          </w:p>
        </w:tc>
        <w:tc>
          <w:tcPr>
            <w:tcW w:type="dxa" w:w="3135"/>
          </w:tcPr>
          <w:p>
            <w:pPr>
              <w:spacing w:before="40" w:after="40"/>
            </w:pPr>
            <w:r>
              <w:rPr>
                <w:sz w:val="17"/>
              </w:rPr>
              <w:t>100 produktów z danymi przychodowymi</w:t>
            </w:r>
          </w:p>
        </w:tc>
      </w:tr>
      <w:tr>
        <w:tc>
          <w:tcPr>
            <w:tcW w:type="dxa" w:w="3135"/>
          </w:tcPr>
          <w:p>
            <w:pPr>
              <w:spacing w:before="40" w:after="40"/>
            </w:pPr>
            <w:r>
              <w:rPr>
                <w:sz w:val="17"/>
              </w:rPr>
              <w:t>ecommercePurchases raw</w:t>
            </w:r>
          </w:p>
        </w:tc>
        <w:tc>
          <w:tcPr>
            <w:tcW w:type="dxa" w:w="3135"/>
          </w:tcPr>
          <w:p>
            <w:pPr>
              <w:spacing w:before="40" w:after="40"/>
            </w:pPr>
            <w:r>
              <w:rPr>
                <w:sz w:val="17"/>
              </w:rPr>
              <w:t>❌ Zaburzone</w:t>
            </w:r>
          </w:p>
        </w:tc>
        <w:tc>
          <w:tcPr>
            <w:tcW w:type="dxa" w:w="3135"/>
          </w:tcPr>
          <w:p>
            <w:pPr>
              <w:spacing w:before="40" w:after="40"/>
            </w:pPr>
            <w:r>
              <w:rPr>
                <w:sz w:val="17"/>
              </w:rPr>
              <w:t>1 610 eventów (3.77×) — obejmuje 1 183 błędne zdarzenia</w:t>
            </w:r>
          </w:p>
        </w:tc>
      </w:tr>
      <w:tr>
        <w:tc>
          <w:tcPr>
            <w:tcW w:type="dxa" w:w="3135"/>
          </w:tcPr>
          <w:p>
            <w:pPr>
              <w:spacing w:before="40" w:after="40"/>
            </w:pPr>
            <w:r>
              <w:rPr>
                <w:sz w:val="17"/>
              </w:rPr>
              <w:t>CR lejka (checkout→purchase)</w:t>
            </w:r>
          </w:p>
        </w:tc>
        <w:tc>
          <w:tcPr>
            <w:tcW w:type="dxa" w:w="3135"/>
          </w:tcPr>
          <w:p>
            <w:pPr>
              <w:spacing w:before="40" w:after="40"/>
            </w:pPr>
            <w:r>
              <w:rPr>
                <w:sz w:val="17"/>
              </w:rPr>
              <w:t>⚠️ Niedokładny</w:t>
            </w:r>
          </w:p>
        </w:tc>
        <w:tc>
          <w:tcPr>
            <w:tcW w:type="dxa" w:w="3135"/>
          </w:tcPr>
          <w:p>
            <w:pPr>
              <w:spacing w:before="40" w:after="40"/>
            </w:pPr>
            <w:r>
              <w:rPr>
                <w:sz w:val="17"/>
              </w:rPr>
              <w:t>begin_checkout (~1 296) wymaga weryfikacji DevTools</w:t>
            </w:r>
          </w:p>
        </w:tc>
      </w:tr>
      <w:tr>
        <w:tc>
          <w:tcPr>
            <w:tcW w:type="dxa" w:w="3135"/>
          </w:tcPr>
          <w:p>
            <w:pPr>
              <w:spacing w:before="40" w:after="40"/>
            </w:pPr>
            <w:r>
              <w:rPr>
                <w:sz w:val="17"/>
              </w:rPr>
              <w:t>Kampanie w Google Ads</w:t>
            </w:r>
          </w:p>
        </w:tc>
        <w:tc>
          <w:tcPr>
            <w:tcW w:type="dxa" w:w="3135"/>
          </w:tcPr>
          <w:p>
            <w:pPr>
              <w:spacing w:before="40" w:after="40"/>
            </w:pPr>
            <w:r>
              <w:rPr>
                <w:sz w:val="17"/>
              </w:rPr>
              <w:t>❌ Błędnie zoptymalizowane</w:t>
            </w:r>
          </w:p>
        </w:tc>
        <w:tc>
          <w:tcPr>
            <w:tcW w:type="dxa" w:w="3135"/>
          </w:tcPr>
          <w:p>
            <w:pPr>
              <w:spacing w:before="40" w:after="40"/>
            </w:pPr>
            <w:r>
              <w:rPr>
                <w:sz w:val="17"/>
              </w:rPr>
              <w:t>Smart Bidding "widzi" 3.77× za dużo konwersji</w:t>
            </w:r>
          </w:p>
        </w:tc>
      </w:tr>
    </w:tbl>
    <w:p/>
    <w:p>
      <w:pPr>
        <w:spacing w:after="80"/>
      </w:pPr>
    </w:p>
    <w:p>
      <w:pPr>
        <w:spacing w:before="120" w:after="80"/>
      </w:pPr>
      <w:r>
        <w:rPr>
          <w:b/>
          <w:color w:val="0F3D66"/>
          <w:sz w:val="22"/>
        </w:rPr>
        <w:t>Kluczowe wnioski — Top 5 problemów</w:t>
      </w:r>
    </w:p>
    <w:p>
      <w:pPr>
        <w:spacing w:after="80"/>
      </w:pPr>
      <w:r>
        <w:rPr>
          <w:sz w:val="20"/>
        </w:rPr>
      </w:r>
      <w:r>
        <w:rPr>
          <w:b/>
          <w:sz w:val="20"/>
        </w:rPr>
        <w:t>1. 🔴 Sprzedaż spadła o 71% rok do roku — utrata ~1.33M PLN/miesiąc</w:t>
      </w:r>
      <w:r>
        <w:rPr>
          <w:sz w:val="20"/>
        </w:rPr>
      </w:r>
    </w:p>
    <w:p>
      <w:pPr>
        <w:spacing w:after="80"/>
      </w:pPr>
      <w:r>
        <w:rPr>
          <w:sz w:val="20"/>
        </w:rPr>
        <w:t>W marcu-kwietniu 2025 sklep generował 1 495 zamówień miesięcznie za 1 856 701 PLN. W marcu-kwietniu 2026 — 427 zamówień za 529 914 PLN. Utracono 1 068 transakcji i 1 326 787 PLN przychodu miesięcznie. Przyczyny są wielorakie i zidentyfikowane.</w:t>
      </w:r>
    </w:p>
    <w:p>
      <w:pPr>
        <w:spacing w:after="80"/>
      </w:pPr>
      <w:r>
        <w:rPr>
          <w:sz w:val="20"/>
        </w:rPr>
      </w:r>
      <w:r>
        <w:rPr>
          <w:b/>
          <w:sz w:val="20"/>
        </w:rPr>
        <w:t>2. 🔴 Malformed transaction IDs — 1 105 konkretnych błędnych ID</w:t>
      </w:r>
      <w:r>
        <w:rPr>
          <w:sz w:val="20"/>
        </w:rPr>
      </w:r>
    </w:p>
    <w:p>
      <w:pPr>
        <w:spacing w:after="80"/>
      </w:pPr>
      <w:r>
        <w:rPr>
          <w:sz w:val="20"/>
        </w:rPr>
        <w:t>System tworzy podwójne zdarzenia zakupu: jedno z prawidłowym numerem zamówienia (np. 210034) i drugie z błędnym (210034&amp;key=1abe2783234b4109f15a80bdd3246c14). Drugie zdarzenie nie jest prawdziwym zakupem — nie ma revenue, nie jest liczone jako transakcja przez GA4. Jednak zasila metrykę ecommercePurchases, którą Google Ads używa do optymalizacji. Algorytm PMax "myśli", że kampanie są 3.77× bardziej skuteczne niż są, i na tej podstawie podejmuje błędne decyzje.</w:t>
      </w:r>
    </w:p>
    <w:p>
      <w:pPr>
        <w:spacing w:after="80"/>
      </w:pPr>
      <w:r>
        <w:rPr>
          <w:sz w:val="20"/>
        </w:rPr>
      </w:r>
      <w:r>
        <w:rPr>
          <w:b/>
          <w:sz w:val="20"/>
        </w:rPr>
        <w:t>3. 🔴 Kampanie Google Search praktycznie nieaktywne (-92% sesji)</w:t>
      </w:r>
      <w:r>
        <w:rPr>
          <w:sz w:val="20"/>
        </w:rPr>
      </w:r>
    </w:p>
    <w:p>
      <w:pPr>
        <w:spacing w:after="80"/>
      </w:pPr>
      <w:r>
        <w:rPr>
          <w:sz w:val="20"/>
        </w:rPr>
        <w:t>Rok temu kampanie Search przynosiły 58 884 sesji miesięcznie. Dziś — 4 600. CR pozostał identyczny (0.29–0.30%), co oznacza że jakość tych kampanii była dobra. Brak sesji = brak budżetu lub wyłączone kampanie. Szacowana strata: ~190 000–215 000 PLN przychodów miesięcznie.</w:t>
      </w:r>
    </w:p>
    <w:p>
      <w:pPr>
        <w:spacing w:after="80"/>
      </w:pPr>
      <w:r>
        <w:rPr>
          <w:sz w:val="20"/>
        </w:rPr>
      </w:r>
      <w:r>
        <w:rPr>
          <w:b/>
          <w:sz w:val="20"/>
        </w:rPr>
        <w:t>4. 🔴 Konwersja na telefonach spadła o 67% rok do roku</w:t>
      </w:r>
      <w:r>
        <w:rPr>
          <w:sz w:val="20"/>
        </w:rPr>
      </w:r>
    </w:p>
    <w:p>
      <w:pPr>
        <w:spacing w:after="80"/>
      </w:pPr>
      <w:r>
        <w:rPr>
          <w:sz w:val="20"/>
        </w:rPr>
        <w:t>Mobile stanowi 78% ruchu (260 tys. sesji/msc). W 2025 CR mobile wynosił 0.288% — dziś 0.095%. Każda sesja mobilna jest teraz 3× mniej opłacalna niż rok temu. Desktop też spadł (-41%), ale znacznie mniej. Wskazuje to na pogorszenie doświadczenia na telefonach — prawdopodobnie po aktualizacji szablonu lub PrestaShop.</w:t>
      </w:r>
    </w:p>
    <w:p>
      <w:pPr>
        <w:spacing w:after="80"/>
      </w:pPr>
      <w:r>
        <w:rPr>
          <w:sz w:val="20"/>
        </w:rPr>
      </w:r>
      <w:r>
        <w:rPr>
          <w:b/>
          <w:sz w:val="20"/>
        </w:rPr>
        <w:t>5. 🟡 PMax generuje więcej ruchu ale 4× mniej efektywny</w:t>
      </w:r>
      <w:r>
        <w:rPr>
          <w:sz w:val="20"/>
        </w:rPr>
      </w:r>
    </w:p>
    <w:p>
      <w:pPr>
        <w:spacing w:after="80"/>
      </w:pPr>
      <w:r>
        <w:rPr>
          <w:sz w:val="20"/>
        </w:rPr>
        <w:t>Kampanie PMax (Cross-network) przynoszą 63% więcej sesji (+53 417 sesji/msc) ale 62% mniej transakcji (-116 trans/msc). CR z 0.221% (2025) spadł do 0.051% (2026). Kampanie "rosną" ale nie konwertują — algorytm optymalizuje na błędne sygnały konwersji.</w:t>
      </w:r>
    </w:p>
    <w:p>
      <w:pPr>
        <w:spacing w:after="80"/>
      </w:pPr>
    </w:p>
    <w:p>
      <w:pPr>
        <w:spacing w:before="200" w:after="80"/>
      </w:pPr>
      <w:r>
        <w:rPr>
          <w:b/>
          <w:color w:val="16213E"/>
          <w:sz w:val="26"/>
        </w:rPr>
        <w:t>CZĘŚĆ II — OMÓWIENIE SZCZEGÓŁOWE</w:t>
      </w:r>
    </w:p>
    <w:p>
      <w:pPr>
        <w:spacing w:after="80"/>
      </w:pPr>
    </w:p>
    <w:p>
      <w:pPr>
        <w:spacing w:before="200" w:after="80"/>
      </w:pPr>
      <w:r>
        <w:rPr>
          <w:b/>
          <w:color w:val="16213E"/>
          <w:sz w:val="26"/>
        </w:rPr>
        <w:t>SEKCJA 1 — Audyt wstępny infrastruktury</w:t>
      </w:r>
    </w:p>
    <w:p>
      <w:pPr>
        <w:spacing w:after="80"/>
      </w:pPr>
      <w:r>
        <w:rPr>
          <w:sz w:val="20"/>
        </w:rPr>
        <w:t>Audyt wstępny sprawdza czy "maszyna" śledzenia działa poprawnie. Szczególnie ważne jest to, żeby kod śledzący uruchamiał się dokładnie raz, we właściwej kolejności, na właściwych stronach. Każde odstępstwo powoduje błędne dane, na których biznes podejmuje błędne decyzje.</w:t>
      </w:r>
    </w:p>
    <w:p>
      <w:pPr>
        <w:spacing w:after="80"/>
      </w:pPr>
      <w:r>
        <w:rPr>
          <w:sz w:val="20"/>
        </w:rPr>
      </w:r>
      <w:r>
        <w:rPr>
          <w:b/>
          <w:sz w:val="20"/>
        </w:rPr>
        <w:t>Wynik: 10/36 pkt (28%) — ❌</w:t>
      </w:r>
      <w:r>
        <w:rPr>
          <w:sz w:val="20"/>
        </w:rPr>
      </w:r>
    </w:p>
    <w:p>
      <w:pPr>
        <w:spacing w:after="80"/>
      </w:pPr>
    </w:p>
    <w:p>
      <w:pPr>
        <w:spacing w:before="120" w:after="80"/>
      </w:pPr>
      <w:r>
        <w:rPr>
          <w:b/>
          <w:color w:val="0F3D66"/>
          <w:sz w:val="22"/>
        </w:rPr>
        <w:t>Hardcoded snippet GA4 w PrestaShop</w:t>
      </w:r>
    </w:p>
    <w:p>
      <w:pPr>
        <w:spacing w:after="80"/>
      </w:pPr>
      <w:r>
        <w:rPr>
          <w:sz w:val="20"/>
        </w:rPr>
        <w:t>Platforma PrestaShop oferuje własny moduł Google Analytics, który wstrzykuje kod śledzący bezpośrednio do szablonu HTML — niezależnie od GTM. Gdy jednocześnie aktywny jest GTM z tagiem GA4, każde zdarzenie na stronie wysyłane jest DWUKROTNIE.</w:t>
      </w:r>
    </w:p>
    <w:p>
      <w:pPr>
        <w:spacing w:after="80"/>
      </w:pPr>
      <w:r>
        <w:rPr>
          <w:sz w:val="20"/>
        </w:rPr>
        <w:t>Dane GA4 potwierdzają ten problem w 2026: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Kategoria</w:t>
            </w:r>
          </w:p>
        </w:tc>
        <w:tc>
          <w:tcPr>
            <w:tcW w:type="dxa" w:w="2351"/>
            <w:shd w:val="clear" w:color="auto" w:fill="1a1a2e"/>
          </w:tcPr>
          <w:p>
            <w:pPr>
              <w:spacing w:before="40" w:after="40"/>
            </w:pPr>
            <w:r>
              <w:rPr>
                <w:b/>
                <w:color w:val="FFFFFF"/>
                <w:sz w:val="17"/>
              </w:rPr>
              <w:t>Eventy</w:t>
            </w:r>
          </w:p>
        </w:tc>
        <w:tc>
          <w:tcPr>
            <w:tcW w:type="dxa" w:w="2351"/>
            <w:shd w:val="clear" w:color="auto" w:fill="1a1a2e"/>
          </w:tcPr>
          <w:p>
            <w:pPr>
              <w:spacing w:before="40" w:after="40"/>
            </w:pPr>
            <w:r>
              <w:rPr>
                <w:b/>
                <w:color w:val="FFFFFF"/>
                <w:sz w:val="17"/>
              </w:rPr>
              <w:t>Trans</w:t>
            </w:r>
          </w:p>
        </w:tc>
        <w:tc>
          <w:tcPr>
            <w:tcW w:type="dxa" w:w="2351"/>
            <w:shd w:val="clear" w:color="auto" w:fill="1a1a2e"/>
          </w:tcPr>
          <w:p>
            <w:pPr>
              <w:spacing w:before="40" w:after="40"/>
            </w:pPr>
            <w:r>
              <w:rPr>
                <w:b/>
                <w:color w:val="FFFFFF"/>
                <w:sz w:val="17"/>
              </w:rPr>
              <w:t>Revenue</w:t>
            </w:r>
          </w:p>
        </w:tc>
      </w:tr>
      <w:tr>
        <w:tc>
          <w:tcPr>
            <w:tcW w:type="dxa" w:w="2351"/>
          </w:tcPr>
          <w:p>
            <w:pPr>
              <w:spacing w:before="40" w:after="40"/>
            </w:pPr>
            <w:r>
              <w:rPr>
                <w:sz w:val="17"/>
              </w:rPr>
              <w:t>Prawidłowe (GTM DataLayer)</w:t>
            </w:r>
          </w:p>
        </w:tc>
        <w:tc>
          <w:tcPr>
            <w:tcW w:type="dxa" w:w="2351"/>
          </w:tcPr>
          <w:p>
            <w:pPr>
              <w:spacing w:before="40" w:after="40"/>
            </w:pPr>
            <w:r>
              <w:rPr>
                <w:sz w:val="17"/>
              </w:rPr>
              <w:t>427</w:t>
            </w:r>
          </w:p>
        </w:tc>
        <w:tc>
          <w:tcPr>
            <w:tcW w:type="dxa" w:w="2351"/>
          </w:tcPr>
          <w:p>
            <w:pPr>
              <w:spacing w:before="40" w:after="40"/>
            </w:pPr>
            <w:r>
              <w:rPr>
                <w:sz w:val="17"/>
              </w:rPr>
              <w:t>427</w:t>
            </w:r>
          </w:p>
        </w:tc>
        <w:tc>
          <w:tcPr>
            <w:tcW w:type="dxa" w:w="2351"/>
          </w:tcPr>
          <w:p>
            <w:pPr>
              <w:spacing w:before="40" w:after="40"/>
            </w:pPr>
            <w:r>
              <w:rPr>
                <w:sz w:val="17"/>
              </w:rPr>
              <w:t>529 914 PLN</w:t>
            </w:r>
          </w:p>
        </w:tc>
      </w:tr>
      <w:tr>
        <w:tc>
          <w:tcPr>
            <w:tcW w:type="dxa" w:w="2351"/>
          </w:tcPr>
          <w:p>
            <w:pPr>
              <w:spacing w:before="40" w:after="40"/>
            </w:pPr>
            <w:r>
              <w:rPr>
                <w:sz w:val="17"/>
              </w:rPr>
              <w:t>Malformed (PrestaShop/URL)</w:t>
            </w:r>
          </w:p>
        </w:tc>
        <w:tc>
          <w:tcPr>
            <w:tcW w:type="dxa" w:w="2351"/>
          </w:tcPr>
          <w:p>
            <w:pPr>
              <w:spacing w:before="40" w:after="40"/>
            </w:pPr>
            <w:r>
              <w:rPr>
                <w:sz w:val="17"/>
              </w:rPr>
              <w:t>1 105</w:t>
            </w:r>
          </w:p>
        </w:tc>
        <w:tc>
          <w:tcPr>
            <w:tcW w:type="dxa" w:w="2351"/>
          </w:tcPr>
          <w:p>
            <w:pPr>
              <w:spacing w:before="40" w:after="40"/>
            </w:pPr>
            <w:r>
              <w:rPr>
                <w:sz w:val="17"/>
              </w:rPr>
              <w:t>0</w:t>
            </w:r>
          </w:p>
        </w:tc>
        <w:tc>
          <w:tcPr>
            <w:tcW w:type="dxa" w:w="2351"/>
          </w:tcPr>
          <w:p>
            <w:pPr>
              <w:spacing w:before="40" w:after="40"/>
            </w:pPr>
            <w:r>
              <w:rPr>
                <w:sz w:val="17"/>
              </w:rPr>
              <w:t>0 PLN</w:t>
            </w:r>
          </w:p>
        </w:tc>
      </w:tr>
      <w:tr>
        <w:tc>
          <w:tcPr>
            <w:tcW w:type="dxa" w:w="2351"/>
          </w:tcPr>
          <w:p>
            <w:pPr>
              <w:spacing w:before="40" w:after="40"/>
            </w:pPr>
            <w:r>
              <w:rPr>
                <w:sz w:val="17"/>
              </w:rPr>
              <w:t>Bez ID (hardcoded gtag)</w:t>
            </w:r>
          </w:p>
        </w:tc>
        <w:tc>
          <w:tcPr>
            <w:tcW w:type="dxa" w:w="2351"/>
          </w:tcPr>
          <w:p>
            <w:pPr>
              <w:spacing w:before="40" w:after="40"/>
            </w:pPr>
            <w:r>
              <w:rPr>
                <w:sz w:val="17"/>
              </w:rPr>
              <w:t>89</w:t>
            </w:r>
          </w:p>
        </w:tc>
        <w:tc>
          <w:tcPr>
            <w:tcW w:type="dxa" w:w="2351"/>
          </w:tcPr>
          <w:p>
            <w:pPr>
              <w:spacing w:before="40" w:after="40"/>
            </w:pPr>
            <w:r>
              <w:rPr>
                <w:sz w:val="17"/>
              </w:rPr>
              <w:t>0</w:t>
            </w:r>
          </w:p>
        </w:tc>
        <w:tc>
          <w:tcPr>
            <w:tcW w:type="dxa" w:w="2351"/>
          </w:tcPr>
          <w:p>
            <w:pPr>
              <w:spacing w:before="40" w:after="40"/>
            </w:pPr>
            <w:r>
              <w:rPr>
                <w:sz w:val="17"/>
              </w:rPr>
              <w:t>0 PLN</w:t>
            </w:r>
          </w:p>
        </w:tc>
      </w:tr>
    </w:tbl>
    <w:p/>
    <w:p>
      <w:pPr>
        <w:spacing w:after="80"/>
      </w:pPr>
      <w:r>
        <w:rPr>
          <w:sz w:val="20"/>
        </w:rPr>
        <w:t>W 2025 ten problem NIE ISTNIAŁ — ratio ePurchases:transactions = 1.013 (prawie 1:1). Pojawił się w 2026, co wskazuje na zmianę konfiguracji strony lub aktualizację PrestaShop.</w:t>
      </w:r>
    </w:p>
    <w:p>
      <w:pPr>
        <w:spacing w:after="80"/>
      </w:pPr>
      <w:r>
        <w:rPr>
          <w:sz w:val="20"/>
        </w:rPr>
      </w:r>
      <w:r>
        <w:rPr>
          <w:b/>
          <w:sz w:val="20"/>
        </w:rPr>
        <w:t>Rekomendacja:</w:t>
      </w:r>
      <w:r>
        <w:rPr>
          <w:sz w:val="20"/>
        </w:rPr>
        <w:t>W panelu PrestaShop → Ustawienia → Integracje → Google Analytics → wyłączyć wbudowaną integrację. Śledzenie GA4 powinno działać WYŁĄCZNIE przez GTM.</w:t>
      </w:r>
    </w:p>
    <w:p>
      <w:pPr>
        <w:spacing w:after="80"/>
      </w:pPr>
    </w:p>
    <w:p>
      <w:pPr>
        <w:spacing w:before="120" w:after="80"/>
      </w:pPr>
      <w:r>
        <w:rPr>
          <w:b/>
          <w:color w:val="0F3D66"/>
          <w:sz w:val="22"/>
        </w:rPr>
        <w:t>DataLayer — poprawność</w:t>
      </w:r>
    </w:p>
    <w:p>
      <w:pPr>
        <w:spacing w:after="80"/>
      </w:pPr>
      <w:r>
        <w:rPr>
          <w:sz w:val="20"/>
        </w:rPr>
        <w:t>DataLayer dla 427 prawidłowych transakcji działa poprawnie. Produkty mają dane:</w:t>
      </w:r>
    </w:p>
    <w:p>
      <w:pPr>
        <w:pStyle w:val="ListBullet"/>
        <w:spacing w:after="40"/>
        <w:ind w:left="283"/>
      </w:pPr>
      <w:r>
        <w:rPr>
          <w:sz w:val="20"/>
        </w:rPr>
        <w:t>TOP bestseller: "Camelowy płaszcz teddy bear z wełną" (ID: 26271) — 8 zakupów, 27 992 PLN</w:t>
      </w:r>
    </w:p>
    <w:p>
      <w:pPr>
        <w:pStyle w:val="ListBullet"/>
        <w:spacing w:after="40"/>
        <w:ind w:left="283"/>
      </w:pPr>
      <w:r>
        <w:rPr>
          <w:sz w:val="20"/>
        </w:rPr>
        <w:t>"Brązowa kurtka ze skóry zamszowej" (ID: 26420) — 6 zakupów, 23 994 PLN</w:t>
      </w:r>
    </w:p>
    <w:p>
      <w:pPr>
        <w:pStyle w:val="ListBullet"/>
        <w:spacing w:after="40"/>
        <w:ind w:left="283"/>
      </w:pPr>
      <w:r>
        <w:rPr>
          <w:sz w:val="20"/>
        </w:rPr>
        <w:t>"Czarna kurtka bomberka z jedwabiem" (ID: 26325) — 9 zakupów, 20 691 PLN</w:t>
      </w:r>
    </w:p>
    <w:p>
      <w:pPr>
        <w:spacing w:after="80"/>
      </w:pPr>
      <w:r>
        <w:rPr>
          <w:sz w:val="20"/>
        </w:rPr>
        <w:t>Dane produktowe są dostępne i poprawne dla 100 produktów.</w:t>
      </w:r>
    </w:p>
    <w:p>
      <w:pPr>
        <w:spacing w:after="80"/>
      </w:pPr>
    </w:p>
    <w:p>
      <w:pPr>
        <w:spacing w:before="120" w:after="80"/>
      </w:pPr>
      <w:r>
        <w:rPr>
          <w:b/>
          <w:color w:val="0F3D66"/>
          <w:sz w:val="22"/>
        </w:rPr>
        <w:t>Malformed transaction_id — mechanizm błędu</w:t>
      </w:r>
    </w:p>
    <w:p>
      <w:pPr>
        <w:spacing w:after="80"/>
      </w:pPr>
      <w:r>
        <w:rPr>
          <w:sz w:val="20"/>
        </w:rPr>
        <w:t>PrestaShop strona potwierdzenia zamówienia ma URL:</w:t>
      </w:r>
    </w:p>
    <w:p>
      <w:pPr>
        <w:ind w:left="567"/>
      </w:pPr>
      <w:r>
        <w:rPr>
          <w:rFonts w:ascii="Courier New" w:hAnsi="Courier New"/>
          <w:color w:val="333333"/>
          <w:sz w:val="16"/>
        </w:rPr>
        <w:t>/order-confirmation?id=210034&amp;key=1abe2783234b4109f15a80bdd3246c14</w:t>
      </w:r>
    </w:p>
    <w:p>
      <w:pPr>
        <w:pStyle w:val="ListBullet"/>
        <w:spacing w:after="40"/>
        <w:ind w:left="283"/>
      </w:pPr>
      <w:r>
        <w:rPr>
          <w:sz w:val="20"/>
        </w:rPr>
      </w:r>
      <w:r>
        <w:rPr>
          <w:b/>
          <w:sz w:val="20"/>
        </w:rPr>
        <w:t>GTM DataLayer</w:t>
      </w:r>
      <w:r>
        <w:rPr>
          <w:sz w:val="20"/>
        </w:rPr>
        <w:t>odczytuje poprawnie: transaction_id = 210034 ✅</w:t>
      </w:r>
    </w:p>
    <w:p>
      <w:pPr>
        <w:pStyle w:val="ListBullet"/>
        <w:spacing w:after="40"/>
        <w:ind w:left="283"/>
      </w:pPr>
      <w:r>
        <w:rPr>
          <w:sz w:val="20"/>
        </w:rPr>
      </w:r>
      <w:r>
        <w:rPr>
          <w:b/>
          <w:sz w:val="20"/>
        </w:rPr>
        <w:t>Drugi tag/snippet</w:t>
      </w:r>
      <w:r>
        <w:rPr>
          <w:sz w:val="20"/>
        </w:rPr>
        <w:t>(prawdopodobnie w GTM lub hardcoded) odczytuje ze zmiennej URL: transaction_id = 210034&amp;key=1abe2783234b4109f15a80bdd3246c14 ❌</w:t>
      </w:r>
    </w:p>
    <w:p>
      <w:pPr>
        <w:spacing w:after="80"/>
      </w:pPr>
      <w:r>
        <w:rPr>
          <w:sz w:val="20"/>
        </w:rPr>
        <w:t>Konkretne przykłady z GA4 (30d):</w:t>
      </w:r>
    </w:p>
    <w:p>
      <w:pPr>
        <w:ind w:left="567"/>
      </w:pPr>
      <w:r>
        <w:rPr>
          <w:rFonts w:ascii="Courier New" w:hAnsi="Courier New"/>
          <w:color w:val="333333"/>
          <w:sz w:val="16"/>
        </w:rPr>
        <w:t>210032&amp;key=1abe2783234b4109f15a80bdd3246c14  → ePurch=1, trans=0, rev=0</w:t>
      </w:r>
    </w:p>
    <w:p>
      <w:pPr>
        <w:ind w:left="567"/>
      </w:pPr>
      <w:r>
        <w:rPr>
          <w:rFonts w:ascii="Courier New" w:hAnsi="Courier New"/>
          <w:color w:val="333333"/>
          <w:sz w:val="16"/>
        </w:rPr>
        <w:t>210033&amp;key=1abe2783234b4109f15a80bdd3246c14  → ePurch=1, trans=0, rev=0</w:t>
      </w:r>
    </w:p>
    <w:p>
      <w:pPr>
        <w:ind w:left="567"/>
      </w:pPr>
      <w:r>
        <w:rPr>
          <w:rFonts w:ascii="Courier New" w:hAnsi="Courier New"/>
          <w:color w:val="333333"/>
          <w:sz w:val="16"/>
        </w:rPr>
        <w:t>210034&amp;key=1abe2783234b4109f15a80bdd3246c14  → ePurch=1, trans=0, rev=0</w:t>
      </w:r>
    </w:p>
    <w:p>
      <w:pPr>
        <w:ind w:left="567"/>
      </w:pPr>
      <w:r>
        <w:rPr>
          <w:rFonts w:ascii="Courier New" w:hAnsi="Courier New"/>
          <w:color w:val="333333"/>
          <w:sz w:val="16"/>
        </w:rPr>
        <w:t>210035&amp;key=1abe2783234b4109f15a80bdd3246c14  → ePurch=1, trans=0, rev=0</w:t>
      </w:r>
    </w:p>
    <w:p>
      <w:pPr>
        <w:ind w:left="567"/>
      </w:pPr>
      <w:r>
        <w:rPr>
          <w:rFonts w:ascii="Courier New" w:hAnsi="Courier New"/>
          <w:color w:val="333333"/>
          <w:sz w:val="16"/>
        </w:rPr>
        <w:t>(... 1101 kolejnych malformed IDs ...)</w:t>
      </w:r>
    </w:p>
    <w:p>
      <w:pPr>
        <w:spacing w:after="80"/>
      </w:pPr>
      <w:r>
        <w:rPr>
          <w:sz w:val="20"/>
        </w:rPr>
        <w:t>Jednocześnie prawidłowe zdarzenie:</w:t>
      </w:r>
    </w:p>
    <w:p>
      <w:pPr>
        <w:ind w:left="567"/>
      </w:pPr>
      <w:r>
        <w:rPr>
          <w:rFonts w:ascii="Courier New" w:hAnsi="Courier New"/>
          <w:color w:val="333333"/>
          <w:sz w:val="16"/>
        </w:rPr>
        <w:t>210034  → ePurch=1, trans=1, rev=2069.00 PLN ✅</w:t>
      </w:r>
    </w:p>
    <w:p>
      <w:pPr>
        <w:spacing w:after="80"/>
      </w:pPr>
      <w:r>
        <w:rPr>
          <w:sz w:val="20"/>
        </w:rPr>
      </w:r>
      <w:r>
        <w:rPr>
          <w:b/>
          <w:sz w:val="20"/>
        </w:rPr>
        <w:t>Rekomendacja:</w:t>
      </w:r>
      <w:r>
        <w:rPr>
          <w:sz w:val="20"/>
        </w:rPr>
        <w:t>W GTM → zidentyfikować zmienną, która odczytuje transaction_id z URL → zmienić na Page URL Query Parameter z parametrem id BEZ capture group (lub z regex ^([^&amp;]+) żeby obciąć wszystko po &amp;). Alternatywnie — upewnić się, że transaction_id pochodzi WYŁĄCZNIE z DataLayer.</w:t>
      </w:r>
    </w:p>
    <w:p>
      <w:pPr>
        <w:spacing w:after="80"/>
      </w:pPr>
    </w:p>
    <w:p>
      <w:pPr>
        <w:spacing w:before="200" w:after="80"/>
      </w:pPr>
      <w:r>
        <w:rPr>
          <w:b/>
          <w:color w:val="16213E"/>
          <w:sz w:val="26"/>
        </w:rPr>
        <w:t>SEKCJA 2 — ePrivacy / Consent Mode</w:t>
      </w:r>
    </w:p>
    <w:p>
      <w:pPr>
        <w:spacing w:after="80"/>
      </w:pPr>
      <w:r>
        <w:rPr>
          <w:sz w:val="20"/>
        </w:rPr>
        <w:t>Consent Mode to mechanizm Google, który pozwala na częściowe śledzenie nawet gdy użytkownik odmówił cookies — przez anonimowe pingi. Bez prawidłowej implementacji traci się zarówno dane jak i możliwość optymalizacji kampanii Smart Bidding.</w:t>
      </w:r>
    </w:p>
    <w:p>
      <w:pPr>
        <w:spacing w:after="80"/>
      </w:pPr>
      <w:r>
        <w:rPr>
          <w:sz w:val="20"/>
        </w:rPr>
      </w:r>
      <w:r>
        <w:rPr>
          <w:b/>
          <w:sz w:val="20"/>
        </w:rPr>
        <w:t>Wynik: ~1/45 pkt (2%) — ❌ (wymaga weryfikacji DevTools)</w:t>
      </w:r>
      <w:r>
        <w:rPr>
          <w:sz w:val="20"/>
        </w:rPr>
      </w:r>
    </w:p>
    <w:p>
      <w:pPr>
        <w:spacing w:after="80"/>
      </w:pPr>
      <w:r>
        <w:rPr>
          <w:sz w:val="20"/>
        </w:rPr>
        <w:t>Cookiebot jest wdrożony. Jednak (not set)/(not set) = 10 502 sesji (3.18%) i 30 transakcji (7.0% = ~13 675 PLN) bez atrybuacji wskazują na niekompletną implementację. Pełna weryfikacja wymaga testu w incognito z DevTools.</w:t>
      </w:r>
    </w:p>
    <w:p>
      <w:pPr>
        <w:spacing w:after="80"/>
      </w:pPr>
      <w:r>
        <w:rPr>
          <w:sz w:val="20"/>
        </w:rPr>
      </w:r>
      <w:r>
        <w:rPr>
          <w:b/>
          <w:sz w:val="20"/>
        </w:rPr>
        <w:t>url_passthrough</w:t>
      </w:r>
      <w:r>
        <w:rPr>
          <w:sz w:val="20"/>
        </w:rPr>
        <w:t>— prawdopodobnie nieskonfigurowane (30 trans/msc bez atrybuacji = ~13 675 PLN tracone co miesiąc).</w:t>
      </w:r>
    </w:p>
    <w:p>
      <w:pPr>
        <w:spacing w:after="80"/>
      </w:pPr>
    </w:p>
    <w:p>
      <w:pPr>
        <w:spacing w:before="200" w:after="80"/>
      </w:pPr>
      <w:r>
        <w:rPr>
          <w:b/>
          <w:color w:val="16213E"/>
          <w:sz w:val="26"/>
        </w:rPr>
        <w:t>SEKCJA 3 — Konfiguracja GTM i GA4</w:t>
      </w:r>
    </w:p>
    <w:p>
      <w:pPr>
        <w:spacing w:after="80"/>
      </w:pPr>
      <w:r>
        <w:rPr>
          <w:sz w:val="20"/>
        </w:rPr>
      </w:r>
      <w:r>
        <w:rPr>
          <w:b/>
          <w:sz w:val="20"/>
        </w:rPr>
        <w:t>Wynik: 15/93 pkt (16%) — ❌</w:t>
      </w:r>
      <w:r>
        <w:rPr>
          <w:sz w:val="20"/>
        </w:rPr>
      </w:r>
    </w:p>
    <w:p>
      <w:pPr>
        <w:spacing w:before="120" w:after="80"/>
      </w:pPr>
      <w:r>
        <w:rPr>
          <w:b/>
          <w:color w:val="0F3D66"/>
          <w:sz w:val="22"/>
        </w:rPr>
        <w:t>Ruch deweloperski w produkcyjnym GA4</w:t>
      </w:r>
    </w:p>
    <w:p>
      <w:pPr>
        <w:spacing w:after="80"/>
      </w:pPr>
      <w:r>
        <w:rPr>
          <w:sz w:val="20"/>
        </w:rPr>
        <w:t>Serwery deweloperskie Aryton rejestrują sesje w produkcyjnym GA4:</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Hostname</w:t>
            </w:r>
          </w:p>
        </w:tc>
        <w:tc>
          <w:tcPr>
            <w:tcW w:type="dxa" w:w="3135"/>
            <w:shd w:val="clear" w:color="auto" w:fill="1a1a2e"/>
          </w:tcPr>
          <w:p>
            <w:pPr>
              <w:spacing w:before="40" w:after="40"/>
            </w:pPr>
            <w:r>
              <w:rPr>
                <w:b/>
                <w:color w:val="FFFFFF"/>
                <w:sz w:val="17"/>
              </w:rPr>
              <w:t>Sesje</w:t>
            </w:r>
          </w:p>
        </w:tc>
        <w:tc>
          <w:tcPr>
            <w:tcW w:type="dxa" w:w="3135"/>
            <w:shd w:val="clear" w:color="auto" w:fill="1a1a2e"/>
          </w:tcPr>
          <w:p>
            <w:pPr>
              <w:spacing w:before="40" w:after="40"/>
            </w:pPr>
            <w:r>
              <w:rPr>
                <w:b/>
                <w:color w:val="FFFFFF"/>
                <w:sz w:val="17"/>
              </w:rPr>
              <w:t>Transakcje</w:t>
            </w:r>
          </w:p>
        </w:tc>
      </w:tr>
      <w:tr>
        <w:tc>
          <w:tcPr>
            <w:tcW w:type="dxa" w:w="3135"/>
          </w:tcPr>
          <w:p>
            <w:pPr>
              <w:spacing w:before="40" w:after="40"/>
            </w:pPr>
            <w:r>
              <w:rPr>
                <w:sz w:val="17"/>
              </w:rPr>
              <w:t>dev18.arytondev.pl</w:t>
            </w:r>
          </w:p>
        </w:tc>
        <w:tc>
          <w:tcPr>
            <w:tcW w:type="dxa" w:w="3135"/>
          </w:tcPr>
          <w:p>
            <w:pPr>
              <w:spacing w:before="40" w:after="40"/>
            </w:pPr>
            <w:r>
              <w:rPr>
                <w:sz w:val="17"/>
              </w:rPr>
              <w:t>26</w:t>
            </w:r>
          </w:p>
        </w:tc>
        <w:tc>
          <w:tcPr>
            <w:tcW w:type="dxa" w:w="3135"/>
          </w:tcPr>
          <w:p>
            <w:pPr>
              <w:spacing w:before="40" w:after="40"/>
            </w:pPr>
            <w:r>
              <w:rPr>
                <w:sz w:val="17"/>
              </w:rPr>
              <w:t>1 (!)</w:t>
            </w:r>
          </w:p>
        </w:tc>
      </w:tr>
      <w:tr>
        <w:tc>
          <w:tcPr>
            <w:tcW w:type="dxa" w:w="3135"/>
          </w:tcPr>
          <w:p>
            <w:pPr>
              <w:spacing w:before="40" w:after="40"/>
            </w:pPr>
            <w:r>
              <w:rPr>
                <w:sz w:val="17"/>
              </w:rPr>
              <w:t>dev18.arytondev.local</w:t>
            </w:r>
          </w:p>
        </w:tc>
        <w:tc>
          <w:tcPr>
            <w:tcW w:type="dxa" w:w="3135"/>
          </w:tcPr>
          <w:p>
            <w:pPr>
              <w:spacing w:before="40" w:after="40"/>
            </w:pPr>
            <w:r>
              <w:rPr>
                <w:sz w:val="17"/>
              </w:rPr>
              <w:t>14</w:t>
            </w:r>
          </w:p>
        </w:tc>
        <w:tc>
          <w:tcPr>
            <w:tcW w:type="dxa" w:w="3135"/>
          </w:tcPr>
          <w:p>
            <w:pPr>
              <w:spacing w:before="40" w:after="40"/>
            </w:pPr>
            <w:r>
              <w:rPr>
                <w:sz w:val="17"/>
              </w:rPr>
              <w:t>0</w:t>
            </w:r>
          </w:p>
        </w:tc>
      </w:tr>
      <w:tr>
        <w:tc>
          <w:tcPr>
            <w:tcW w:type="dxa" w:w="3135"/>
          </w:tcPr>
          <w:p>
            <w:pPr>
              <w:spacing w:before="40" w:after="40"/>
            </w:pPr>
            <w:r>
              <w:rPr>
                <w:sz w:val="17"/>
              </w:rPr>
              <w:t>aryton81.local</w:t>
            </w:r>
          </w:p>
        </w:tc>
        <w:tc>
          <w:tcPr>
            <w:tcW w:type="dxa" w:w="3135"/>
          </w:tcPr>
          <w:p>
            <w:pPr>
              <w:spacing w:before="40" w:after="40"/>
            </w:pPr>
            <w:r>
              <w:rPr>
                <w:sz w:val="17"/>
              </w:rPr>
              <w:t>7</w:t>
            </w:r>
          </w:p>
        </w:tc>
        <w:tc>
          <w:tcPr>
            <w:tcW w:type="dxa" w:w="3135"/>
          </w:tcPr>
          <w:p>
            <w:pPr>
              <w:spacing w:before="40" w:after="40"/>
            </w:pPr>
            <w:r>
              <w:rPr>
                <w:sz w:val="17"/>
              </w:rPr>
              <w:t>0</w:t>
            </w:r>
          </w:p>
        </w:tc>
      </w:tr>
    </w:tbl>
    <w:p/>
    <w:p>
      <w:pPr>
        <w:spacing w:after="80"/>
      </w:pPr>
      <w:r>
        <w:rPr>
          <w:sz w:val="20"/>
        </w:rPr>
        <w:t>1 transakcja testowa z serwera deweloperskiego trafiła do danych produkcyjnych — zaburza dane o przychodzie.</w:t>
      </w:r>
    </w:p>
    <w:p>
      <w:pPr>
        <w:spacing w:after="80"/>
      </w:pPr>
      <w:r>
        <w:rPr>
          <w:sz w:val="20"/>
        </w:rPr>
      </w:r>
      <w:r>
        <w:rPr>
          <w:b/>
          <w:sz w:val="20"/>
        </w:rPr>
        <w:t>Rekomendacja:</w:t>
      </w:r>
      <w:r>
        <w:rPr>
          <w:sz w:val="20"/>
        </w:rPr>
        <w:t>GA4 → Admin → Filtry danych → dodać filtr wykluczający hostname zawierający arytondev i aryton81.</w:t>
      </w:r>
    </w:p>
    <w:p>
      <w:pPr>
        <w:spacing w:before="120" w:after="80"/>
      </w:pPr>
      <w:r>
        <w:rPr>
          <w:b/>
          <w:color w:val="0F3D66"/>
          <w:sz w:val="22"/>
        </w:rPr>
        <w:t>Referral exclusion — braki</w:t>
      </w:r>
    </w:p>
    <w:p>
      <w:pPr>
        <w:spacing w:after="80"/>
      </w:pPr>
      <w:r>
        <w:rPr>
          <w:sz w:val="20"/>
        </w:rPr>
        <w:t>Niezwykluczone z referral:</w:t>
      </w:r>
    </w:p>
    <w:p>
      <w:pPr>
        <w:pStyle w:val="ListBullet"/>
        <w:spacing w:after="40"/>
        <w:ind w:left="283"/>
      </w:pPr>
      <w:r>
        <w:rPr>
          <w:sz w:val="20"/>
        </w:rPr>
        <w:t>klarna (55 sesji) — bramka płatności BNPL</w:t>
      </w:r>
    </w:p>
    <w:p>
      <w:pPr>
        <w:pStyle w:val="ListBullet"/>
        <w:spacing w:after="40"/>
        <w:ind w:left="283"/>
      </w:pPr>
      <w:r>
        <w:rPr>
          <w:sz w:val="20"/>
        </w:rPr>
        <w:t>poczta.onet.pl (191 sesji), poczta.interia.pl (88), poczta.o2.pl (83) — webmaile</w:t>
      </w:r>
    </w:p>
    <w:p>
      <w:pPr>
        <w:spacing w:after="80"/>
      </w:pPr>
      <w:r>
        <w:rPr>
          <w:sz w:val="20"/>
        </w:rPr>
        <w:t>Użytkownicy wracający z Klarna po autoryzacji płatności są traktowani jako nowa sesja z referral=klarna zamiast kontynuować sesję oryginalną.</w:t>
      </w:r>
    </w:p>
    <w:p>
      <w:pPr>
        <w:spacing w:after="80"/>
      </w:pPr>
      <w:r>
        <w:rPr>
          <w:sz w:val="20"/>
        </w:rPr>
      </w:r>
      <w:r>
        <w:rPr>
          <w:b/>
          <w:sz w:val="20"/>
        </w:rPr>
        <w:t>Rekomendacja:</w:t>
      </w:r>
      <w:r>
        <w:rPr>
          <w:sz w:val="20"/>
        </w:rPr>
        <w:t>GA4 → Strumień → Referral exclusion → dodać: klarna.com, wp.pl, onet.pl, o2.pl, interia.pl.</w:t>
      </w:r>
    </w:p>
    <w:p>
      <w:pPr>
        <w:spacing w:before="120" w:after="80"/>
      </w:pPr>
      <w:r>
        <w:rPr>
          <w:b/>
          <w:color w:val="0F3D66"/>
          <w:sz w:val="22"/>
        </w:rPr>
        <w:t>Połączenia — poprawne</w:t>
      </w:r>
    </w:p>
    <w:p>
      <w:pPr>
        <w:pStyle w:val="ListBullet"/>
        <w:spacing w:after="40"/>
        <w:ind w:left="283"/>
      </w:pPr>
      <w:r>
        <w:rPr>
          <w:sz w:val="20"/>
        </w:rPr>
        <w:t>✅ Google Ads połączone z GA4</w:t>
      </w:r>
    </w:p>
    <w:p>
      <w:pPr>
        <w:pStyle w:val="ListBullet"/>
        <w:spacing w:after="40"/>
        <w:ind w:left="283"/>
      </w:pPr>
      <w:r>
        <w:rPr>
          <w:sz w:val="20"/>
        </w:rPr>
        <w:t>✅ BigQuery eksport aktywny (dane-z-ga4-aryton-pl)</w:t>
      </w:r>
    </w:p>
    <w:p>
      <w:pPr>
        <w:pStyle w:val="ListBullet"/>
        <w:spacing w:after="40"/>
        <w:ind w:left="283"/>
      </w:pPr>
      <w:r>
        <w:rPr>
          <w:sz w:val="20"/>
        </w:rPr>
        <w:t>✅ Model atrybucji Data-Driven</w:t>
      </w:r>
    </w:p>
    <w:p>
      <w:pPr>
        <w:spacing w:after="80"/>
      </w:pPr>
    </w:p>
    <w:p>
      <w:pPr>
        <w:spacing w:before="200" w:after="80"/>
      </w:pPr>
      <w:r>
        <w:rPr>
          <w:b/>
          <w:color w:val="16213E"/>
          <w:sz w:val="26"/>
        </w:rPr>
        <w:t>SEKCJA 4 — Jakość danych</w:t>
      </w:r>
    </w:p>
    <w:p>
      <w:pPr>
        <w:spacing w:after="80"/>
      </w:pPr>
      <w:r>
        <w:rPr>
          <w:sz w:val="20"/>
        </w:rPr>
      </w:r>
      <w:r>
        <w:rPr>
          <w:b/>
          <w:sz w:val="20"/>
        </w:rPr>
        <w:t>Wynik: 30/75 pkt (40%) — ❌</w:t>
      </w:r>
      <w:r>
        <w:rPr>
          <w:sz w:val="20"/>
        </w:rPr>
      </w:r>
    </w:p>
    <w:p>
      <w:pPr>
        <w:spacing w:before="120" w:after="80"/>
      </w:pPr>
      <w:r>
        <w:rPr>
          <w:b/>
          <w:color w:val="0F3D66"/>
          <w:sz w:val="22"/>
        </w:rPr>
        <w:t>Ratio ecommercePurchases:transactions = 3.77×</w:t>
      </w:r>
    </w:p>
    <w:p>
      <w:pPr>
        <w:spacing w:after="80"/>
      </w:pPr>
      <w:r>
        <w:rPr>
          <w:sz w:val="20"/>
        </w:rPr>
      </w:r>
      <w:r>
        <w:rPr>
          <w:b/>
          <w:sz w:val="20"/>
        </w:rPr>
        <w:t>KOREKTA v1</w:t>
      </w:r>
      <w:r>
        <w:rPr>
          <w:sz w:val="20"/>
        </w:rPr>
        <w:t>: Problem NIE jest spowodowany zduplikowanymi transaction_id. Każde ID jest unikalne. Prawdziwa przyczyna:</w:t>
      </w:r>
    </w:p>
    <w:p>
      <w:pPr>
        <w:pStyle w:val="ListNumber"/>
        <w:spacing w:after="40"/>
        <w:ind w:left="283"/>
      </w:pPr>
      <w:r>
        <w:rPr>
          <w:sz w:val="20"/>
        </w:rPr>
      </w:r>
      <w:r>
        <w:rPr>
          <w:b/>
          <w:sz w:val="20"/>
        </w:rPr>
        <w:t>1 105 malformed IDs</w:t>
      </w:r>
      <w:r>
        <w:rPr>
          <w:sz w:val="20"/>
        </w:rPr>
        <w:t>(np. 210034&amp;key=1abe2783...) — tag odczytuje URL zamiast DataLayer</w:t>
      </w:r>
    </w:p>
    <w:p>
      <w:pPr>
        <w:pStyle w:val="ListNumber"/>
        <w:spacing w:after="40"/>
        <w:ind w:left="283"/>
      </w:pPr>
      <w:r>
        <w:rPr>
          <w:sz w:val="20"/>
        </w:rPr>
      </w:r>
      <w:r>
        <w:rPr>
          <w:b/>
          <w:sz w:val="20"/>
        </w:rPr>
        <w:t>89 eventów z (not set)</w:t>
      </w:r>
      <w:r>
        <w:rPr>
          <w:sz w:val="20"/>
        </w:rPr>
        <w:t>— hardcoded gtag bez DataLayer</w:t>
      </w:r>
    </w:p>
    <w:p>
      <w:pPr>
        <w:pStyle w:val="ListNumber"/>
        <w:spacing w:after="40"/>
        <w:ind w:left="283"/>
      </w:pPr>
      <w:r>
        <w:rPr>
          <w:sz w:val="20"/>
        </w:rPr>
      </w:r>
      <w:r>
        <w:rPr>
          <w:b/>
          <w:sz w:val="20"/>
        </w:rPr>
        <w:t>2 eventy z pustym ID</w:t>
      </w:r>
      <w:r>
        <w:rPr>
          <w:sz w:val="20"/>
        </w:rPr>
        <w:t>— błąd konfiguracji</w:t>
      </w:r>
    </w:p>
    <w:p>
      <w:pPr>
        <w:spacing w:after="80"/>
      </w:pPr>
      <w:r>
        <w:rPr>
          <w:sz w:val="20"/>
        </w:rPr>
        <w:t>Łącznie 1 196 błędnych eventów purchase influje ecommercePurchases do 1 610, podczas gdy prawdziwych transakcji jest 427.</w:t>
      </w:r>
    </w:p>
    <w:p>
      <w:pPr>
        <w:spacing w:after="80"/>
      </w:pPr>
      <w:r>
        <w:rPr>
          <w:sz w:val="20"/>
        </w:rPr>
      </w:r>
      <w:r>
        <w:rPr>
          <w:b/>
          <w:sz w:val="20"/>
        </w:rPr>
        <w:t>Kluczowa różnica YoY:</w:t>
      </w:r>
      <w:r>
        <w:rPr>
          <w:sz w:val="20"/>
        </w:rPr>
        <w:t>W 2025 ratio = 1.013 (normalne). Problem pojawił się w 2026. Oznacza to, że Google Ads Smart Bidding przez ostatnie miesiące "uczył się" na fałszywych sygnałach.</w:t>
      </w:r>
    </w:p>
    <w:p>
      <w:pPr>
        <w:spacing w:before="120" w:after="80"/>
      </w:pPr>
      <w:r>
        <w:rPr>
          <w:b/>
          <w:color w:val="0F3D66"/>
          <w:sz w:val="22"/>
        </w:rPr>
        <w:t>Anomalia lejka</w:t>
      </w:r>
    </w:p>
    <w:p>
      <w:pPr>
        <w:ind w:left="567"/>
      </w:pPr>
      <w:r>
        <w:rPr>
          <w:rFonts w:ascii="Courier New" w:hAnsi="Courier New"/>
          <w:color w:val="333333"/>
          <w:sz w:val="16"/>
        </w:rPr>
        <w:t>view_item:          ~590 000</w:t>
      </w:r>
    </w:p>
    <w:p>
      <w:pPr>
        <w:ind w:left="567"/>
      </w:pPr>
      <w:r>
        <w:rPr>
          <w:rFonts w:ascii="Courier New" w:hAnsi="Courier New"/>
          <w:color w:val="333333"/>
          <w:sz w:val="16"/>
        </w:rPr>
        <w:t>add_to_cart:          32 653</w:t>
      </w:r>
    </w:p>
    <w:p>
      <w:pPr>
        <w:ind w:left="567"/>
      </w:pPr>
      <w:r>
        <w:rPr>
          <w:rFonts w:ascii="Courier New" w:hAnsi="Courier New"/>
          <w:color w:val="333333"/>
          <w:sz w:val="16"/>
        </w:rPr>
        <w:t>begin_checkout:        ~1 296</w:t>
      </w:r>
    </w:p>
    <w:p>
      <w:pPr>
        <w:ind w:left="567"/>
      </w:pPr>
      <w:r>
        <w:rPr>
          <w:rFonts w:ascii="Courier New" w:hAnsi="Courier New"/>
          <w:color w:val="333333"/>
          <w:sz w:val="16"/>
        </w:rPr>
        <w:t>add_shipping_info:     ~2 132  ← ANOMALIA (&gt; begin_checkout — niemożliwe)</w:t>
      </w:r>
    </w:p>
    <w:p>
      <w:pPr>
        <w:ind w:left="567"/>
      </w:pPr>
      <w:r>
        <w:rPr>
          <w:rFonts w:ascii="Courier New" w:hAnsi="Courier New"/>
          <w:color w:val="333333"/>
          <w:sz w:val="16"/>
        </w:rPr>
        <w:t>add_payment_info:        ~806</w:t>
      </w:r>
    </w:p>
    <w:p>
      <w:pPr>
        <w:ind w:left="567"/>
      </w:pPr>
      <w:r>
        <w:rPr>
          <w:rFonts w:ascii="Courier New" w:hAnsi="Courier New"/>
          <w:color w:val="333333"/>
          <w:sz w:val="16"/>
        </w:rPr>
        <w:t>purchase (raw):         1 610</w:t>
      </w:r>
    </w:p>
    <w:p>
      <w:pPr>
        <w:ind w:left="567"/>
      </w:pPr>
      <w:r>
        <w:rPr>
          <w:rFonts w:ascii="Courier New" w:hAnsi="Courier New"/>
          <w:color w:val="333333"/>
          <w:sz w:val="16"/>
        </w:rPr>
        <w:t>purchase (real):          427</w:t>
      </w:r>
    </w:p>
    <w:p>
      <w:pPr>
        <w:spacing w:after="80"/>
      </w:pPr>
      <w:r>
        <w:rPr>
          <w:sz w:val="20"/>
        </w:rPr>
        <w:t>add_shipping_info &gt; begin_checkout wskazuje na błąd w kolejności triggerów — prawdopodobnie event add_shipping_info odpala się na wcześniejszym etapie checkout w PrestaShop niż begin_checkout. Wymaga przeglądu konfiguracji GTM.</w:t>
      </w:r>
    </w:p>
    <w:p>
      <w:pPr>
        <w:spacing w:before="120" w:after="80"/>
      </w:pPr>
      <w:r>
        <w:rPr>
          <w:b/>
          <w:color w:val="0F3D66"/>
          <w:sz w:val="22"/>
        </w:rPr>
        <w:t>Produkty — dane dostępne ✅</w:t>
      </w:r>
    </w:p>
    <w:p>
      <w:pPr>
        <w:spacing w:after="80"/>
      </w:pPr>
      <w:r>
        <w:rPr>
          <w:sz w:val="20"/>
        </w:rPr>
        <w:t>TOP 10 produktów wg przychodu (30d):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Produkt</w:t>
            </w:r>
          </w:p>
        </w:tc>
        <w:tc>
          <w:tcPr>
            <w:tcW w:type="dxa" w:w="3135"/>
            <w:shd w:val="clear" w:color="auto" w:fill="1a1a2e"/>
          </w:tcPr>
          <w:p>
            <w:pPr>
              <w:spacing w:before="40" w:after="40"/>
            </w:pPr>
            <w:r>
              <w:rPr>
                <w:b/>
                <w:color w:val="FFFFFF"/>
                <w:sz w:val="17"/>
              </w:rPr>
              <w:t>Zakupów</w:t>
            </w:r>
          </w:p>
        </w:tc>
        <w:tc>
          <w:tcPr>
            <w:tcW w:type="dxa" w:w="3135"/>
            <w:shd w:val="clear" w:color="auto" w:fill="1a1a2e"/>
          </w:tcPr>
          <w:p>
            <w:pPr>
              <w:spacing w:before="40" w:after="40"/>
            </w:pPr>
            <w:r>
              <w:rPr>
                <w:b/>
                <w:color w:val="FFFFFF"/>
                <w:sz w:val="17"/>
              </w:rPr>
              <w:t>Przychód</w:t>
            </w:r>
          </w:p>
        </w:tc>
      </w:tr>
      <w:tr>
        <w:tc>
          <w:tcPr>
            <w:tcW w:type="dxa" w:w="3135"/>
          </w:tcPr>
          <w:p>
            <w:pPr>
              <w:spacing w:before="40" w:after="40"/>
            </w:pPr>
            <w:r>
              <w:rPr>
                <w:sz w:val="17"/>
              </w:rPr>
              <w:t>Camelowy płaszcz teddy bear z wełną (26271)</w:t>
            </w:r>
          </w:p>
        </w:tc>
        <w:tc>
          <w:tcPr>
            <w:tcW w:type="dxa" w:w="3135"/>
          </w:tcPr>
          <w:p>
            <w:pPr>
              <w:spacing w:before="40" w:after="40"/>
            </w:pPr>
            <w:r>
              <w:rPr>
                <w:sz w:val="17"/>
              </w:rPr>
              <w:t>8</w:t>
            </w:r>
          </w:p>
        </w:tc>
        <w:tc>
          <w:tcPr>
            <w:tcW w:type="dxa" w:w="3135"/>
          </w:tcPr>
          <w:p>
            <w:pPr>
              <w:spacing w:before="40" w:after="40"/>
            </w:pPr>
            <w:r>
              <w:rPr>
                <w:sz w:val="17"/>
              </w:rPr>
              <w:t>27 992 PLN</w:t>
            </w:r>
          </w:p>
        </w:tc>
      </w:tr>
      <w:tr>
        <w:tc>
          <w:tcPr>
            <w:tcW w:type="dxa" w:w="3135"/>
          </w:tcPr>
          <w:p>
            <w:pPr>
              <w:spacing w:before="40" w:after="40"/>
            </w:pPr>
            <w:r>
              <w:rPr>
                <w:sz w:val="17"/>
              </w:rPr>
              <w:t>Brązowa kurtka ze skóry zamszowej (26420)</w:t>
            </w:r>
          </w:p>
        </w:tc>
        <w:tc>
          <w:tcPr>
            <w:tcW w:type="dxa" w:w="3135"/>
          </w:tcPr>
          <w:p>
            <w:pPr>
              <w:spacing w:before="40" w:after="40"/>
            </w:pPr>
            <w:r>
              <w:rPr>
                <w:sz w:val="17"/>
              </w:rPr>
              <w:t>6</w:t>
            </w:r>
          </w:p>
        </w:tc>
        <w:tc>
          <w:tcPr>
            <w:tcW w:type="dxa" w:w="3135"/>
          </w:tcPr>
          <w:p>
            <w:pPr>
              <w:spacing w:before="40" w:after="40"/>
            </w:pPr>
            <w:r>
              <w:rPr>
                <w:sz w:val="17"/>
              </w:rPr>
              <w:t>23 994 PLN</w:t>
            </w:r>
          </w:p>
        </w:tc>
      </w:tr>
      <w:tr>
        <w:tc>
          <w:tcPr>
            <w:tcW w:type="dxa" w:w="3135"/>
          </w:tcPr>
          <w:p>
            <w:pPr>
              <w:spacing w:before="40" w:after="40"/>
            </w:pPr>
            <w:r>
              <w:rPr>
                <w:sz w:val="17"/>
              </w:rPr>
              <w:t>Czarna kurtka bomberka z jedwabiem (26325)</w:t>
            </w:r>
          </w:p>
        </w:tc>
        <w:tc>
          <w:tcPr>
            <w:tcW w:type="dxa" w:w="3135"/>
          </w:tcPr>
          <w:p>
            <w:pPr>
              <w:spacing w:before="40" w:after="40"/>
            </w:pPr>
            <w:r>
              <w:rPr>
                <w:sz w:val="17"/>
              </w:rPr>
              <w:t>9</w:t>
            </w:r>
          </w:p>
        </w:tc>
        <w:tc>
          <w:tcPr>
            <w:tcW w:type="dxa" w:w="3135"/>
          </w:tcPr>
          <w:p>
            <w:pPr>
              <w:spacing w:before="40" w:after="40"/>
            </w:pPr>
            <w:r>
              <w:rPr>
                <w:sz w:val="17"/>
              </w:rPr>
              <w:t>20 691 PLN</w:t>
            </w:r>
          </w:p>
        </w:tc>
      </w:tr>
      <w:tr>
        <w:tc>
          <w:tcPr>
            <w:tcW w:type="dxa" w:w="3135"/>
          </w:tcPr>
          <w:p>
            <w:pPr>
              <w:spacing w:before="40" w:after="40"/>
            </w:pPr>
            <w:r>
              <w:rPr>
                <w:sz w:val="17"/>
              </w:rPr>
              <w:t>Długi bawełniany trencz beżowy (22390)</w:t>
            </w:r>
          </w:p>
        </w:tc>
        <w:tc>
          <w:tcPr>
            <w:tcW w:type="dxa" w:w="3135"/>
          </w:tcPr>
          <w:p>
            <w:pPr>
              <w:spacing w:before="40" w:after="40"/>
            </w:pPr>
            <w:r>
              <w:rPr>
                <w:sz w:val="17"/>
              </w:rPr>
              <w:t>11</w:t>
            </w:r>
          </w:p>
        </w:tc>
        <w:tc>
          <w:tcPr>
            <w:tcW w:type="dxa" w:w="3135"/>
          </w:tcPr>
          <w:p>
            <w:pPr>
              <w:spacing w:before="40" w:after="40"/>
            </w:pPr>
            <w:r>
              <w:rPr>
                <w:sz w:val="17"/>
              </w:rPr>
              <w:t>18 469 PLN</w:t>
            </w:r>
          </w:p>
        </w:tc>
      </w:tr>
      <w:tr>
        <w:tc>
          <w:tcPr>
            <w:tcW w:type="dxa" w:w="3135"/>
          </w:tcPr>
          <w:p>
            <w:pPr>
              <w:spacing w:before="40" w:after="40"/>
            </w:pPr>
            <w:r>
              <w:rPr>
                <w:sz w:val="17"/>
              </w:rPr>
              <w:t>Beżowa dwurzędowa kurtka z wełny (26204)</w:t>
            </w:r>
          </w:p>
        </w:tc>
        <w:tc>
          <w:tcPr>
            <w:tcW w:type="dxa" w:w="3135"/>
          </w:tcPr>
          <w:p>
            <w:pPr>
              <w:spacing w:before="40" w:after="40"/>
            </w:pPr>
            <w:r>
              <w:rPr>
                <w:sz w:val="17"/>
              </w:rPr>
              <w:t>14</w:t>
            </w:r>
          </w:p>
        </w:tc>
        <w:tc>
          <w:tcPr>
            <w:tcW w:type="dxa" w:w="3135"/>
          </w:tcPr>
          <w:p>
            <w:pPr>
              <w:spacing w:before="40" w:after="40"/>
            </w:pPr>
            <w:r>
              <w:rPr>
                <w:sz w:val="17"/>
              </w:rPr>
              <w:t>17 486 PLN</w:t>
            </w:r>
          </w:p>
        </w:tc>
      </w:tr>
    </w:tbl>
    <w:p/>
    <w:p>
      <w:pPr>
        <w:spacing w:after="80"/>
      </w:pPr>
    </w:p>
    <w:p>
      <w:pPr>
        <w:spacing w:before="200" w:after="80"/>
      </w:pPr>
      <w:r>
        <w:rPr>
          <w:b/>
          <w:color w:val="16213E"/>
          <w:sz w:val="26"/>
        </w:rPr>
        <w:t>SEKCJA 5 — UTM</w:t>
      </w:r>
    </w:p>
    <w:p>
      <w:pPr>
        <w:spacing w:after="80"/>
      </w:pPr>
      <w:r>
        <w:rPr>
          <w:sz w:val="20"/>
        </w:rPr>
      </w:r>
      <w:r>
        <w:rPr>
          <w:b/>
          <w:sz w:val="20"/>
        </w:rPr>
        <w:t>Wynik: 9/18 pkt (50%) — ⚠️</w:t>
      </w:r>
      <w:r>
        <w:rPr>
          <w:sz w:val="20"/>
        </w:rPr>
      </w:r>
    </w:p>
    <w:p>
      <w:pPr>
        <w:spacing w:after="80"/>
      </w:pPr>
      <w:r>
        <w:rPr>
          <w:sz w:val="20"/>
        </w:rPr>
        <w:t>Google Ads (google/cpc) i Email (edrone/email) prawidłowo oznaczone. Problemy:</w:t>
      </w:r>
    </w:p>
    <w:p>
      <w:pPr>
        <w:pStyle w:val="ListBullet"/>
        <w:spacing w:after="40"/>
        <w:ind w:left="283"/>
      </w:pPr>
      <w:r>
        <w:rPr>
          <w:sz w:val="20"/>
        </w:rPr>
        <w:t>Meta fragmentation: 7 wariantów (~63 738 sesji) — zaniża mierzony ROAS Meta</w:t>
      </w:r>
    </w:p>
    <w:p>
      <w:pPr>
        <w:pStyle w:val="ListBullet"/>
        <w:spacing w:after="40"/>
        <w:ind w:left="283"/>
      </w:pPr>
      <w:r>
        <w:rPr>
          <w:sz w:val="20"/>
        </w:rPr>
        <w:t>SMS: 0 transakcji z 1 708 sesji (vs 8 transakcji w 2025)</w:t>
      </w:r>
    </w:p>
    <w:p>
      <w:pPr>
        <w:spacing w:after="80"/>
      </w:pPr>
    </w:p>
    <w:p>
      <w:pPr>
        <w:spacing w:before="200" w:after="80"/>
      </w:pPr>
      <w:r>
        <w:rPr>
          <w:b/>
          <w:color w:val="16213E"/>
          <w:sz w:val="26"/>
        </w:rPr>
        <w:t>SEKCJA 7 — Lejki zakupowe</w:t>
      </w:r>
    </w:p>
    <w:p>
      <w:pPr>
        <w:spacing w:after="80"/>
      </w:pPr>
      <w:r>
        <w:rPr>
          <w:sz w:val="20"/>
        </w:rPr>
      </w:r>
      <w:r>
        <w:rPr>
          <w:b/>
          <w:sz w:val="20"/>
        </w:rPr>
        <w:t>Wynik: 2/8 pkt (25%) — ❌</w:t>
      </w:r>
      <w:r>
        <w:rPr>
          <w:sz w:val="20"/>
        </w:rPr>
      </w:r>
    </w:p>
    <w:p>
      <w:pPr>
        <w:spacing w:before="120" w:after="80"/>
      </w:pPr>
      <w:r>
        <w:rPr>
          <w:b/>
          <w:color w:val="0F3D66"/>
          <w:sz w:val="22"/>
        </w:rPr>
        <w:t>CR google/cpc vs google/organic (YoY)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Metryka</w:t>
            </w:r>
          </w:p>
        </w:tc>
        <w:tc>
          <w:tcPr>
            <w:tcW w:type="dxa" w:w="2351"/>
            <w:shd w:val="clear" w:color="auto" w:fill="1a1a2e"/>
          </w:tcPr>
          <w:p>
            <w:pPr>
              <w:spacing w:before="40" w:after="40"/>
            </w:pPr>
            <w:r>
              <w:rPr>
                <w:b/>
                <w:color w:val="FFFFFF"/>
                <w:sz w:val="17"/>
              </w:rPr>
              <w:t>google/cpc</w:t>
            </w:r>
          </w:p>
        </w:tc>
        <w:tc>
          <w:tcPr>
            <w:tcW w:type="dxa" w:w="2351"/>
            <w:shd w:val="clear" w:color="auto" w:fill="1a1a2e"/>
          </w:tcPr>
          <w:p>
            <w:pPr>
              <w:spacing w:before="40" w:after="40"/>
            </w:pPr>
            <w:r>
              <w:rPr>
                <w:b/>
                <w:color w:val="FFFFFF"/>
                <w:sz w:val="17"/>
              </w:rPr>
              <w:t>google/organic</w:t>
            </w:r>
          </w:p>
        </w:tc>
        <w:tc>
          <w:tcPr>
            <w:tcW w:type="dxa" w:w="2351"/>
            <w:shd w:val="clear" w:color="auto" w:fill="1a1a2e"/>
          </w:tcPr>
          <w:p>
            <w:pPr>
              <w:spacing w:before="40" w:after="40"/>
            </w:pPr>
            <w:r>
              <w:rPr>
                <w:b/>
                <w:color w:val="FFFFFF"/>
                <w:sz w:val="17"/>
              </w:rPr>
              <w:t>Ratio</w:t>
            </w:r>
          </w:p>
        </w:tc>
      </w:tr>
      <w:tr>
        <w:tc>
          <w:tcPr>
            <w:tcW w:type="dxa" w:w="2351"/>
          </w:tcPr>
          <w:p>
            <w:pPr>
              <w:spacing w:before="40" w:after="40"/>
            </w:pPr>
            <w:r>
              <w:rPr>
                <w:sz w:val="17"/>
              </w:rPr>
              <w:t>Sesje</w:t>
            </w:r>
          </w:p>
        </w:tc>
        <w:tc>
          <w:tcPr>
            <w:tcW w:type="dxa" w:w="2351"/>
          </w:tcPr>
          <w:p>
            <w:pPr>
              <w:spacing w:before="40" w:after="40"/>
            </w:pPr>
            <w:r>
              <w:rPr>
                <w:sz w:val="17"/>
              </w:rPr>
              <w:t>142 854</w:t>
            </w:r>
          </w:p>
        </w:tc>
        <w:tc>
          <w:tcPr>
            <w:tcW w:type="dxa" w:w="2351"/>
          </w:tcPr>
          <w:p>
            <w:pPr>
              <w:spacing w:before="40" w:after="40"/>
            </w:pPr>
            <w:r>
              <w:rPr>
                <w:sz w:val="17"/>
              </w:rPr>
              <w:t>75 838</w:t>
            </w:r>
          </w:p>
        </w:tc>
        <w:tc>
          <w:tcPr>
            <w:tcW w:type="dxa" w:w="2351"/>
          </w:tcPr>
          <w:p>
            <w:pPr>
              <w:spacing w:before="40" w:after="40"/>
            </w:pPr>
            <w:r>
              <w:rPr>
                <w:sz w:val="17"/>
              </w:rPr>
              <w:t>—</w:t>
            </w:r>
          </w:p>
        </w:tc>
      </w:tr>
      <w:tr>
        <w:tc>
          <w:tcPr>
            <w:tcW w:type="dxa" w:w="2351"/>
          </w:tcPr>
          <w:p>
            <w:pPr>
              <w:spacing w:before="40" w:after="40"/>
            </w:pPr>
            <w:r>
              <w:rPr>
                <w:sz w:val="17"/>
              </w:rPr>
              <w:t>Trans</w:t>
            </w:r>
          </w:p>
        </w:tc>
        <w:tc>
          <w:tcPr>
            <w:tcW w:type="dxa" w:w="2351"/>
          </w:tcPr>
          <w:p>
            <w:pPr>
              <w:spacing w:before="40" w:after="40"/>
            </w:pPr>
            <w:r>
              <w:rPr>
                <w:sz w:val="17"/>
              </w:rPr>
              <w:t>90</w:t>
            </w:r>
          </w:p>
        </w:tc>
        <w:tc>
          <w:tcPr>
            <w:tcW w:type="dxa" w:w="2351"/>
          </w:tcPr>
          <w:p>
            <w:pPr>
              <w:spacing w:before="40" w:after="40"/>
            </w:pPr>
            <w:r>
              <w:rPr>
                <w:sz w:val="17"/>
              </w:rPr>
              <w:t>173</w:t>
            </w:r>
          </w:p>
        </w:tc>
        <w:tc>
          <w:tcPr>
            <w:tcW w:type="dxa" w:w="2351"/>
          </w:tcPr>
          <w:p>
            <w:pPr>
              <w:spacing w:before="40" w:after="40"/>
            </w:pPr>
            <w:r>
              <w:rPr>
                <w:sz w:val="17"/>
              </w:rPr>
              <w:t>—</w:t>
            </w:r>
          </w:p>
        </w:tc>
      </w:tr>
      <w:tr>
        <w:tc>
          <w:tcPr>
            <w:tcW w:type="dxa" w:w="2351"/>
          </w:tcPr>
          <w:p>
            <w:pPr>
              <w:spacing w:before="40" w:after="40"/>
            </w:pPr>
            <w:r>
              <w:rPr>
                <w:sz w:val="17"/>
              </w:rPr>
              <w:t>CR</w:t>
            </w:r>
          </w:p>
        </w:tc>
        <w:tc>
          <w:tcPr>
            <w:tcW w:type="dxa" w:w="2351"/>
          </w:tcPr>
          <w:p>
            <w:pPr>
              <w:spacing w:before="40" w:after="40"/>
            </w:pPr>
            <w:r>
              <w:rPr>
                <w:sz w:val="17"/>
              </w:rPr>
              <w:t>0.063%</w:t>
            </w:r>
          </w:p>
        </w:tc>
        <w:tc>
          <w:tcPr>
            <w:tcW w:type="dxa" w:w="2351"/>
          </w:tcPr>
          <w:p>
            <w:pPr>
              <w:spacing w:before="40" w:after="40"/>
            </w:pPr>
            <w:r>
              <w:rPr>
                <w:sz w:val="17"/>
              </w:rPr>
              <w:t>0.228%</w:t>
            </w:r>
          </w:p>
        </w:tc>
        <w:tc>
          <w:tcPr>
            <w:tcW w:type="dxa" w:w="2351"/>
          </w:tcPr>
          <w:p>
            <w:pPr>
              <w:spacing w:before="40" w:after="40"/>
            </w:pPr>
            <w:r>
              <w:rPr>
                <w:sz w:val="17"/>
              </w:rPr>
              <w:t>27.6%</w:t>
            </w:r>
          </w:p>
        </w:tc>
      </w:tr>
    </w:tbl>
    <w:p/>
    <w:p>
      <w:pPr>
        <w:spacing w:after="80"/>
      </w:pPr>
      <w:r>
        <w:rPr>
          <w:sz w:val="20"/>
        </w:rPr>
        <w:t>Kampanie CPC mają CR 4× niższy niż organic. Przy prawidłowym CR (50% organic = 0.114%) z 142 854 sesji byłoby ~163 transakcji zamiast 90 =</w:t>
      </w:r>
      <w:r>
        <w:rPr>
          <w:b/>
          <w:sz w:val="20"/>
        </w:rPr>
        <w:t>+73 transakcje/msc × 1 241 PLN = ~91 000 PLN/msc</w:t>
      </w:r>
      <w:r>
        <w:rPr>
          <w:sz w:val="20"/>
        </w:rPr>
        <w:t>.</w:t>
      </w:r>
    </w:p>
    <w:p>
      <w:pPr>
        <w:spacing w:before="120" w:after="80"/>
      </w:pPr>
      <w:r>
        <w:rPr>
          <w:b/>
          <w:color w:val="0F3D66"/>
          <w:sz w:val="22"/>
        </w:rPr>
        <w:t>Checkout drop-off: 67.1%</w:t>
      </w:r>
    </w:p>
    <w:p>
      <w:pPr>
        <w:spacing w:after="80"/>
      </w:pPr>
      <w:r>
        <w:rPr>
          <w:sz w:val="20"/>
        </w:rPr>
        <w:t>Ze ~1 296 checkout beginners tylko 427 finalizuje zakup. Drop-off: 67.1%.</w:t>
      </w:r>
    </w:p>
    <w:p>
      <w:pPr>
        <w:spacing w:after="80"/>
      </w:pPr>
      <w:r>
        <w:rPr>
          <w:sz w:val="20"/>
        </w:rPr>
        <w:t>Rev/sesja per kanał:</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pPr>
              <w:spacing w:before="40" w:after="40"/>
            </w:pPr>
            <w:r>
              <w:rPr>
                <w:b/>
                <w:color w:val="FFFFFF"/>
                <w:sz w:val="17"/>
              </w:rPr>
              <w:t>Kanał</w:t>
            </w:r>
          </w:p>
        </w:tc>
        <w:tc>
          <w:tcPr>
            <w:tcW w:type="dxa" w:w="3135"/>
            <w:shd w:val="clear" w:color="auto" w:fill="1a1a2e"/>
          </w:tcPr>
          <w:p>
            <w:pPr>
              <w:spacing w:before="40" w:after="40"/>
            </w:pPr>
            <w:r>
              <w:rPr>
                <w:b/>
                <w:color w:val="FFFFFF"/>
                <w:sz w:val="17"/>
              </w:rPr>
              <w:t>Rev/sesja</w:t>
            </w:r>
          </w:p>
        </w:tc>
        <w:tc>
          <w:tcPr>
            <w:tcW w:type="dxa" w:w="3135"/>
            <w:shd w:val="clear" w:color="auto" w:fill="1a1a2e"/>
          </w:tcPr>
          <w:p>
            <w:pPr>
              <w:spacing w:before="40" w:after="40"/>
            </w:pPr>
            <w:r>
              <w:rPr>
                <w:b/>
                <w:color w:val="FFFFFF"/>
                <w:sz w:val="17"/>
              </w:rPr>
              <w:t>Komentarz</w:t>
            </w:r>
          </w:p>
        </w:tc>
      </w:tr>
      <w:tr>
        <w:tc>
          <w:tcPr>
            <w:tcW w:type="dxa" w:w="3135"/>
          </w:tcPr>
          <w:p>
            <w:pPr>
              <w:spacing w:before="40" w:after="40"/>
            </w:pPr>
            <w:r>
              <w:rPr>
                <w:sz w:val="17"/>
              </w:rPr>
              <w:t>Bing organic</w:t>
            </w:r>
          </w:p>
        </w:tc>
        <w:tc>
          <w:tcPr>
            <w:tcW w:type="dxa" w:w="3135"/>
          </w:tcPr>
          <w:p>
            <w:pPr>
              <w:spacing w:before="40" w:after="40"/>
            </w:pPr>
            <w:r>
              <w:rPr>
                <w:sz w:val="17"/>
              </w:rPr>
              <w:t>10.51 PLN</w:t>
            </w:r>
          </w:p>
        </w:tc>
        <w:tc>
          <w:tcPr>
            <w:tcW w:type="dxa" w:w="3135"/>
          </w:tcPr>
          <w:p>
            <w:pPr>
              <w:spacing w:before="40" w:after="40"/>
            </w:pPr>
            <w:r>
              <w:rPr>
                <w:sz w:val="17"/>
              </w:rPr>
              <w:t>2 859 sesji — bardzo niedoinwestowany!</w:t>
            </w:r>
          </w:p>
        </w:tc>
      </w:tr>
      <w:tr>
        <w:tc>
          <w:tcPr>
            <w:tcW w:type="dxa" w:w="3135"/>
          </w:tcPr>
          <w:p>
            <w:pPr>
              <w:spacing w:before="40" w:after="40"/>
            </w:pPr>
            <w:r>
              <w:rPr>
                <w:sz w:val="17"/>
              </w:rPr>
              <w:t>Organic Search</w:t>
            </w:r>
          </w:p>
        </w:tc>
        <w:tc>
          <w:tcPr>
            <w:tcW w:type="dxa" w:w="3135"/>
          </w:tcPr>
          <w:p>
            <w:pPr>
              <w:spacing w:before="40" w:after="40"/>
            </w:pPr>
            <w:r>
              <w:rPr>
                <w:sz w:val="17"/>
              </w:rPr>
              <w:t>3.48 PLN</w:t>
            </w:r>
          </w:p>
        </w:tc>
        <w:tc>
          <w:tcPr>
            <w:tcW w:type="dxa" w:w="3135"/>
          </w:tcPr>
          <w:p>
            <w:pPr>
              <w:spacing w:before="40" w:after="40"/>
            </w:pPr>
            <w:r>
              <w:rPr>
                <w:sz w:val="17"/>
              </w:rPr>
              <w:t>—</w:t>
            </w:r>
          </w:p>
        </w:tc>
      </w:tr>
      <w:tr>
        <w:tc>
          <w:tcPr>
            <w:tcW w:type="dxa" w:w="3135"/>
          </w:tcPr>
          <w:p>
            <w:pPr>
              <w:spacing w:before="40" w:after="40"/>
            </w:pPr>
            <w:r>
              <w:rPr>
                <w:sz w:val="17"/>
              </w:rPr>
              <w:t>Email (edrone)</w:t>
            </w:r>
          </w:p>
        </w:tc>
        <w:tc>
          <w:tcPr>
            <w:tcW w:type="dxa" w:w="3135"/>
          </w:tcPr>
          <w:p>
            <w:pPr>
              <w:spacing w:before="40" w:after="40"/>
            </w:pPr>
            <w:r>
              <w:rPr>
                <w:sz w:val="17"/>
              </w:rPr>
              <w:t>2.59 PLN</w:t>
            </w:r>
          </w:p>
        </w:tc>
        <w:tc>
          <w:tcPr>
            <w:tcW w:type="dxa" w:w="3135"/>
          </w:tcPr>
          <w:p>
            <w:pPr>
              <w:spacing w:before="40" w:after="40"/>
            </w:pPr>
            <w:r>
              <w:rPr>
                <w:sz w:val="17"/>
              </w:rPr>
              <w:t>—</w:t>
            </w:r>
          </w:p>
        </w:tc>
      </w:tr>
      <w:tr>
        <w:tc>
          <w:tcPr>
            <w:tcW w:type="dxa" w:w="3135"/>
          </w:tcPr>
          <w:p>
            <w:pPr>
              <w:spacing w:before="40" w:after="40"/>
            </w:pPr>
            <w:r>
              <w:rPr>
                <w:sz w:val="17"/>
              </w:rPr>
              <w:t>Paid Search</w:t>
            </w:r>
          </w:p>
        </w:tc>
        <w:tc>
          <w:tcPr>
            <w:tcW w:type="dxa" w:w="3135"/>
          </w:tcPr>
          <w:p>
            <w:pPr>
              <w:spacing w:before="40" w:after="40"/>
            </w:pPr>
            <w:r>
              <w:rPr>
                <w:sz w:val="17"/>
              </w:rPr>
              <w:t>2.42 PLN</w:t>
            </w:r>
          </w:p>
        </w:tc>
        <w:tc>
          <w:tcPr>
            <w:tcW w:type="dxa" w:w="3135"/>
          </w:tcPr>
          <w:p>
            <w:pPr>
              <w:spacing w:before="40" w:after="40"/>
            </w:pPr>
            <w:r>
              <w:rPr>
                <w:sz w:val="17"/>
              </w:rPr>
              <w:t>—</w:t>
            </w:r>
          </w:p>
        </w:tc>
      </w:tr>
      <w:tr>
        <w:tc>
          <w:tcPr>
            <w:tcW w:type="dxa" w:w="3135"/>
          </w:tcPr>
          <w:p>
            <w:pPr>
              <w:spacing w:before="40" w:after="40"/>
            </w:pPr>
            <w:r>
              <w:rPr>
                <w:sz w:val="17"/>
              </w:rPr>
              <w:t>Direct</w:t>
            </w:r>
          </w:p>
        </w:tc>
        <w:tc>
          <w:tcPr>
            <w:tcW w:type="dxa" w:w="3135"/>
          </w:tcPr>
          <w:p>
            <w:pPr>
              <w:spacing w:before="40" w:after="40"/>
            </w:pPr>
            <w:r>
              <w:rPr>
                <w:sz w:val="17"/>
              </w:rPr>
              <w:t>1.21 PLN</w:t>
            </w:r>
          </w:p>
        </w:tc>
        <w:tc>
          <w:tcPr>
            <w:tcW w:type="dxa" w:w="3135"/>
          </w:tcPr>
          <w:p>
            <w:pPr>
              <w:spacing w:before="40" w:after="40"/>
            </w:pPr>
            <w:r>
              <w:rPr>
                <w:sz w:val="17"/>
              </w:rPr>
              <w:t>—</w:t>
            </w:r>
          </w:p>
        </w:tc>
      </w:tr>
      <w:tr>
        <w:tc>
          <w:tcPr>
            <w:tcW w:type="dxa" w:w="3135"/>
          </w:tcPr>
          <w:p>
            <w:pPr>
              <w:spacing w:before="40" w:after="40"/>
            </w:pPr>
            <w:r>
              <w:rPr>
                <w:sz w:val="17"/>
              </w:rPr>
              <w:t>Paid Social (Meta)</w:t>
            </w:r>
          </w:p>
        </w:tc>
        <w:tc>
          <w:tcPr>
            <w:tcW w:type="dxa" w:w="3135"/>
          </w:tcPr>
          <w:p>
            <w:pPr>
              <w:spacing w:before="40" w:after="40"/>
            </w:pPr>
            <w:r>
              <w:rPr>
                <w:sz w:val="17"/>
              </w:rPr>
              <w:t>1.10 PLN</w:t>
            </w:r>
          </w:p>
        </w:tc>
        <w:tc>
          <w:tcPr>
            <w:tcW w:type="dxa" w:w="3135"/>
          </w:tcPr>
          <w:p>
            <w:pPr>
              <w:spacing w:before="40" w:after="40"/>
            </w:pPr>
            <w:r>
              <w:rPr>
                <w:sz w:val="17"/>
              </w:rPr>
              <w:t>—</w:t>
            </w:r>
          </w:p>
        </w:tc>
      </w:tr>
      <w:tr>
        <w:tc>
          <w:tcPr>
            <w:tcW w:type="dxa" w:w="3135"/>
          </w:tcPr>
          <w:p>
            <w:pPr>
              <w:spacing w:before="40" w:after="40"/>
            </w:pPr>
            <w:r>
              <w:rPr>
                <w:sz w:val="17"/>
              </w:rPr>
              <w:t>Cross-network (PMax)</w:t>
            </w:r>
          </w:p>
        </w:tc>
        <w:tc>
          <w:tcPr>
            <w:tcW w:type="dxa" w:w="3135"/>
          </w:tcPr>
          <w:p>
            <w:pPr>
              <w:spacing w:before="40" w:after="40"/>
            </w:pPr>
            <w:r>
              <w:rPr>
                <w:sz w:val="17"/>
              </w:rPr>
              <w:t>0.54 PLN</w:t>
            </w:r>
          </w:p>
        </w:tc>
        <w:tc>
          <w:tcPr>
            <w:tcW w:type="dxa" w:w="3135"/>
          </w:tcPr>
          <w:p>
            <w:pPr>
              <w:spacing w:before="40" w:after="40"/>
            </w:pPr>
            <w:r>
              <w:rPr>
                <w:sz w:val="17"/>
              </w:rPr>
              <w:t>Najgorszy Rev/sesja</w:t>
            </w:r>
          </w:p>
        </w:tc>
      </w:tr>
    </w:tbl>
    <w:p/>
    <w:p>
      <w:pPr>
        <w:spacing w:after="80"/>
      </w:pPr>
      <w:r>
        <w:rPr>
          <w:sz w:val="20"/>
        </w:rPr>
      </w:r>
      <w:r>
        <w:rPr>
          <w:b/>
          <w:sz w:val="20"/>
        </w:rPr>
        <w:t>Bing organic</w:t>
      </w:r>
      <w:r>
        <w:rPr>
          <w:sz w:val="20"/>
        </w:rPr>
        <w:t>: 26 transakcji, 30 063 PLN z zaledwie 2 859 sesji = najwyższy Rev/sesja na koncie (10.51 PLN). Przy 10× wolumenie = ~300 000 PLN/msc z kampanii Microsoft Ads.</w:t>
      </w:r>
    </w:p>
    <w:p>
      <w:pPr>
        <w:spacing w:after="80"/>
      </w:pPr>
    </w:p>
    <w:p>
      <w:pPr>
        <w:spacing w:before="200" w:after="80"/>
      </w:pPr>
      <w:r>
        <w:rPr>
          <w:b/>
          <w:color w:val="16213E"/>
          <w:sz w:val="26"/>
        </w:rPr>
        <w:t>SEKCJA 9 — Analiza danych</w:t>
      </w:r>
    </w:p>
    <w:p>
      <w:pPr>
        <w:spacing w:after="80"/>
      </w:pPr>
      <w:r>
        <w:rPr>
          <w:sz w:val="20"/>
        </w:rPr>
      </w:r>
      <w:r>
        <w:rPr>
          <w:b/>
          <w:sz w:val="20"/>
        </w:rPr>
        <w:t>Wynik: 4/24 pkt (17%) — ❌</w:t>
      </w:r>
      <w:r>
        <w:rPr>
          <w:sz w:val="20"/>
        </w:rPr>
      </w:r>
    </w:p>
    <w:p>
      <w:pPr>
        <w:spacing w:before="120" w:after="80"/>
      </w:pPr>
      <w:r>
        <w:rPr>
          <w:b/>
          <w:color w:val="0F3D66"/>
          <w:sz w:val="22"/>
        </w:rPr>
        <w:t>Mobile vs Desktop (YoY)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2e"/>
          </w:tcPr>
          <w:p>
            <w:pPr>
              <w:spacing w:before="40" w:after="40"/>
            </w:pPr>
            <w:r>
              <w:rPr>
                <w:b/>
                <w:color w:val="FFFFFF"/>
                <w:sz w:val="17"/>
              </w:rPr>
            </w:r>
          </w:p>
        </w:tc>
        <w:tc>
          <w:tcPr>
            <w:tcW w:type="dxa" w:w="1881"/>
            <w:shd w:val="clear" w:color="auto" w:fill="1a1a2e"/>
          </w:tcPr>
          <w:p>
            <w:pPr>
              <w:spacing w:before="40" w:after="40"/>
            </w:pPr>
            <w:r>
              <w:rPr>
                <w:b/>
                <w:color w:val="FFFFFF"/>
                <w:sz w:val="17"/>
              </w:rPr>
              <w:t>Mobile 2026</w:t>
            </w:r>
          </w:p>
        </w:tc>
        <w:tc>
          <w:tcPr>
            <w:tcW w:type="dxa" w:w="1881"/>
            <w:shd w:val="clear" w:color="auto" w:fill="1a1a2e"/>
          </w:tcPr>
          <w:p>
            <w:pPr>
              <w:spacing w:before="40" w:after="40"/>
            </w:pPr>
            <w:r>
              <w:rPr>
                <w:b/>
                <w:color w:val="FFFFFF"/>
                <w:sz w:val="17"/>
              </w:rPr>
              <w:t>Mobile 2025</w:t>
            </w:r>
          </w:p>
        </w:tc>
        <w:tc>
          <w:tcPr>
            <w:tcW w:type="dxa" w:w="1881"/>
            <w:shd w:val="clear" w:color="auto" w:fill="1a1a2e"/>
          </w:tcPr>
          <w:p>
            <w:pPr>
              <w:spacing w:before="40" w:after="40"/>
            </w:pPr>
            <w:r>
              <w:rPr>
                <w:b/>
                <w:color w:val="FFFFFF"/>
                <w:sz w:val="17"/>
              </w:rPr>
              <w:t>Desktop 2026</w:t>
            </w:r>
          </w:p>
        </w:tc>
        <w:tc>
          <w:tcPr>
            <w:tcW w:type="dxa" w:w="1881"/>
            <w:shd w:val="clear" w:color="auto" w:fill="1a1a2e"/>
          </w:tcPr>
          <w:p>
            <w:pPr>
              <w:spacing w:before="40" w:after="40"/>
            </w:pPr>
            <w:r>
              <w:rPr>
                <w:b/>
                <w:color w:val="FFFFFF"/>
                <w:sz w:val="17"/>
              </w:rPr>
              <w:t>Desktop 2025</w:t>
            </w:r>
          </w:p>
        </w:tc>
      </w:tr>
      <w:tr>
        <w:tc>
          <w:tcPr>
            <w:tcW w:type="dxa" w:w="1881"/>
          </w:tcPr>
          <w:p>
            <w:pPr>
              <w:spacing w:before="40" w:after="40"/>
            </w:pPr>
            <w:r>
              <w:rPr>
                <w:sz w:val="17"/>
              </w:rPr>
              <w:t>Sesje</w:t>
            </w:r>
          </w:p>
        </w:tc>
        <w:tc>
          <w:tcPr>
            <w:tcW w:type="dxa" w:w="1881"/>
          </w:tcPr>
          <w:p>
            <w:pPr>
              <w:spacing w:before="40" w:after="40"/>
            </w:pPr>
            <w:r>
              <w:rPr>
                <w:sz w:val="17"/>
              </w:rPr>
              <w:t>259 439</w:t>
            </w:r>
          </w:p>
        </w:tc>
        <w:tc>
          <w:tcPr>
            <w:tcW w:type="dxa" w:w="1881"/>
          </w:tcPr>
          <w:p>
            <w:pPr>
              <w:spacing w:before="40" w:after="40"/>
            </w:pPr>
            <w:r>
              <w:rPr>
                <w:sz w:val="17"/>
              </w:rPr>
              <w:t>318 860</w:t>
            </w:r>
          </w:p>
        </w:tc>
        <w:tc>
          <w:tcPr>
            <w:tcW w:type="dxa" w:w="1881"/>
          </w:tcPr>
          <w:p>
            <w:pPr>
              <w:spacing w:before="40" w:after="40"/>
            </w:pPr>
            <w:r>
              <w:rPr>
                <w:sz w:val="17"/>
              </w:rPr>
              <w:t>65 243</w:t>
            </w:r>
          </w:p>
        </w:tc>
        <w:tc>
          <w:tcPr>
            <w:tcW w:type="dxa" w:w="1881"/>
          </w:tcPr>
          <w:p>
            <w:pPr>
              <w:spacing w:before="40" w:after="40"/>
            </w:pPr>
            <w:r>
              <w:rPr>
                <w:sz w:val="17"/>
              </w:rPr>
              <w:t>120 419</w:t>
            </w:r>
          </w:p>
        </w:tc>
      </w:tr>
      <w:tr>
        <w:tc>
          <w:tcPr>
            <w:tcW w:type="dxa" w:w="1881"/>
          </w:tcPr>
          <w:p>
            <w:pPr>
              <w:spacing w:before="40" w:after="40"/>
            </w:pPr>
            <w:r>
              <w:rPr>
                <w:sz w:val="17"/>
              </w:rPr>
              <w:t>Trans</w:t>
            </w:r>
          </w:p>
        </w:tc>
        <w:tc>
          <w:tcPr>
            <w:tcW w:type="dxa" w:w="1881"/>
          </w:tcPr>
          <w:p>
            <w:pPr>
              <w:spacing w:before="40" w:after="40"/>
            </w:pPr>
            <w:r>
              <w:rPr>
                <w:sz w:val="17"/>
              </w:rPr>
              <w:t>246</w:t>
            </w:r>
          </w:p>
        </w:tc>
        <w:tc>
          <w:tcPr>
            <w:tcW w:type="dxa" w:w="1881"/>
          </w:tcPr>
          <w:p>
            <w:pPr>
              <w:spacing w:before="40" w:after="40"/>
            </w:pPr>
            <w:r>
              <w:rPr>
                <w:sz w:val="17"/>
              </w:rPr>
              <w:t>919</w:t>
            </w:r>
          </w:p>
        </w:tc>
        <w:tc>
          <w:tcPr>
            <w:tcW w:type="dxa" w:w="1881"/>
          </w:tcPr>
          <w:p>
            <w:pPr>
              <w:spacing w:before="40" w:after="40"/>
            </w:pPr>
            <w:r>
              <w:rPr>
                <w:sz w:val="17"/>
              </w:rPr>
              <w:t>180</w:t>
            </w:r>
          </w:p>
        </w:tc>
        <w:tc>
          <w:tcPr>
            <w:tcW w:type="dxa" w:w="1881"/>
          </w:tcPr>
          <w:p>
            <w:pPr>
              <w:spacing w:before="40" w:after="40"/>
            </w:pPr>
            <w:r>
              <w:rPr>
                <w:sz w:val="17"/>
              </w:rPr>
              <w:t>561</w:t>
            </w:r>
          </w:p>
        </w:tc>
      </w:tr>
      <w:tr>
        <w:tc>
          <w:tcPr>
            <w:tcW w:type="dxa" w:w="1881"/>
          </w:tcPr>
          <w:p>
            <w:pPr>
              <w:spacing w:before="40" w:after="40"/>
            </w:pPr>
            <w:r>
              <w:rPr>
                <w:sz w:val="17"/>
              </w:rPr>
              <w:t>CR</w:t>
            </w:r>
          </w:p>
        </w:tc>
        <w:tc>
          <w:tcPr>
            <w:tcW w:type="dxa" w:w="1881"/>
          </w:tcPr>
          <w:p>
            <w:pPr>
              <w:spacing w:before="40" w:after="40"/>
            </w:pPr>
            <w:r>
              <w:rPr>
                <w:sz w:val="17"/>
              </w:rPr>
              <w:t>0.095%</w:t>
            </w:r>
          </w:p>
        </w:tc>
        <w:tc>
          <w:tcPr>
            <w:tcW w:type="dxa" w:w="1881"/>
          </w:tcPr>
          <w:p>
            <w:pPr>
              <w:spacing w:before="40" w:after="40"/>
            </w:pPr>
            <w:r>
              <w:rPr>
                <w:sz w:val="17"/>
              </w:rPr>
              <w:t>0.288%</w:t>
            </w:r>
          </w:p>
        </w:tc>
        <w:tc>
          <w:tcPr>
            <w:tcW w:type="dxa" w:w="1881"/>
          </w:tcPr>
          <w:p>
            <w:pPr>
              <w:spacing w:before="40" w:after="40"/>
            </w:pPr>
            <w:r>
              <w:rPr>
                <w:sz w:val="17"/>
              </w:rPr>
              <w:t>0.276%</w:t>
            </w:r>
          </w:p>
        </w:tc>
        <w:tc>
          <w:tcPr>
            <w:tcW w:type="dxa" w:w="1881"/>
          </w:tcPr>
          <w:p>
            <w:pPr>
              <w:spacing w:before="40" w:after="40"/>
            </w:pPr>
            <w:r>
              <w:rPr>
                <w:sz w:val="17"/>
              </w:rPr>
              <w:t>0.466%</w:t>
            </w:r>
          </w:p>
        </w:tc>
      </w:tr>
      <w:tr>
        <w:tc>
          <w:tcPr>
            <w:tcW w:type="dxa" w:w="1881"/>
          </w:tcPr>
          <w:p>
            <w:pPr>
              <w:spacing w:before="40" w:after="40"/>
            </w:pPr>
            <w:r>
              <w:rPr>
                <w:sz w:val="17"/>
              </w:rPr>
              <w:t>CR delta</w:t>
            </w:r>
          </w:p>
        </w:tc>
        <w:tc>
          <w:tcPr>
            <w:tcW w:type="dxa" w:w="1881"/>
          </w:tcPr>
          <w:p>
            <w:pPr>
              <w:spacing w:before="40" w:after="40"/>
            </w:pPr>
            <w:r>
              <w:rPr>
                <w:sz w:val="17"/>
              </w:rPr>
              <w:t>-67%</w:t>
            </w:r>
          </w:p>
        </w:tc>
        <w:tc>
          <w:tcPr>
            <w:tcW w:type="dxa" w:w="1881"/>
          </w:tcPr>
          <w:p>
            <w:pPr>
              <w:spacing w:before="40" w:after="40"/>
            </w:pPr>
            <w:r>
              <w:rPr>
                <w:sz w:val="17"/>
              </w:rPr>
              <w:t>—</w:t>
            </w:r>
          </w:p>
        </w:tc>
        <w:tc>
          <w:tcPr>
            <w:tcW w:type="dxa" w:w="1881"/>
          </w:tcPr>
          <w:p>
            <w:pPr>
              <w:spacing w:before="40" w:after="40"/>
            </w:pPr>
            <w:r>
              <w:rPr>
                <w:sz w:val="17"/>
              </w:rPr>
              <w:t>-41%</w:t>
            </w:r>
          </w:p>
        </w:tc>
        <w:tc>
          <w:tcPr>
            <w:tcW w:type="dxa" w:w="1881"/>
          </w:tcPr>
          <w:p>
            <w:pPr>
              <w:spacing w:before="40" w:after="40"/>
            </w:pPr>
            <w:r>
              <w:rPr>
                <w:sz w:val="17"/>
              </w:rPr>
              <w:t>—</w:t>
            </w:r>
          </w:p>
        </w:tc>
      </w:tr>
    </w:tbl>
    <w:p/>
    <w:p>
      <w:pPr>
        <w:spacing w:after="80"/>
      </w:pPr>
      <w:r>
        <w:rPr>
          <w:sz w:val="20"/>
        </w:rPr>
        <w:t>Mobile stracił znacznie więcej CR niż desktop (-67% vs -41%). Oznacza to problem specyficzny dla mobile — zmiana szablonu, wolniejsze ładowanie na 4G, lub problemy z procesem checkout na małym ekranie.</w:t>
      </w:r>
    </w:p>
    <w:p>
      <w:pPr>
        <w:spacing w:after="80"/>
      </w:pPr>
      <w:r>
        <w:rPr>
          <w:sz w:val="20"/>
        </w:rPr>
      </w:r>
      <w:r>
        <w:rPr>
          <w:b/>
          <w:sz w:val="20"/>
        </w:rPr>
        <w:t>Potencjał mobile</w:t>
      </w:r>
      <w:r>
        <w:rPr>
          <w:sz w:val="20"/>
        </w:rPr>
        <w:t>(gdyby CR mobile = 50% desktop = 0.138%):</w:t>
      </w:r>
    </w:p>
    <w:p>
      <w:pPr>
        <w:ind w:left="567"/>
      </w:pPr>
      <w:r>
        <w:rPr>
          <w:rFonts w:ascii="Courier New" w:hAnsi="Courier New"/>
          <w:color w:val="333333"/>
          <w:sz w:val="16"/>
        </w:rPr>
        <w:t>Dodatkowe transakcje = (0.138% - 0.095%) × 259 439 = +112 trans/msc</w:t>
      </w:r>
    </w:p>
    <w:p>
      <w:pPr>
        <w:ind w:left="567"/>
      </w:pPr>
      <w:r>
        <w:rPr>
          <w:rFonts w:ascii="Courier New" w:hAnsi="Courier New"/>
          <w:color w:val="333333"/>
          <w:sz w:val="16"/>
        </w:rPr>
        <w:t>Dodatkowy przychód = 112 × 1 241 PLN = ~139 000 PLN/msc</w:t>
      </w:r>
    </w:p>
    <w:p>
      <w:pPr>
        <w:spacing w:before="120" w:after="80"/>
      </w:pPr>
      <w:r>
        <w:rPr>
          <w:b/>
          <w:color w:val="0F3D66"/>
          <w:sz w:val="22"/>
        </w:rPr>
        <w:t>Anomalia 2026-04-04</w:t>
      </w:r>
    </w:p>
    <w:p>
      <w:pPr>
        <w:spacing w:after="80"/>
      </w:pPr>
      <w:r>
        <w:rPr>
          <w:sz w:val="20"/>
        </w:rPr>
        <w:t>Data | Sesje | Transakcje</w:t>
      </w:r>
    </w:p>
    <w:p>
      <w:pPr>
        <w:spacing w:after="80"/>
      </w:pPr>
      <w:r>
        <w:rPr>
          <w:sz w:val="20"/>
        </w:rPr>
        <w:t>2026-04-04 | 9 564 |</w:t>
      </w:r>
      <w:r>
        <w:rPr>
          <w:b/>
          <w:sz w:val="20"/>
        </w:rPr>
        <w:t>0</w:t>
      </w:r>
      <w:r>
        <w:rPr>
          <w:sz w:val="20"/>
        </w:rPr>
        <w:t>← AWARIA</w:t>
      </w:r>
    </w:p>
    <w:p>
      <w:pPr>
        <w:spacing w:after="80"/>
      </w:pPr>
      <w:r>
        <w:rPr>
          <w:sz w:val="20"/>
        </w:rPr>
        <w:t>9 564 użytkowników odwiedziło sklep bez ŻADNEJ transakcji. To niemal 3× normalny wolumen dzienny. Możliwa awaria bramki płatności lub systemu checkout.</w:t>
      </w:r>
    </w:p>
    <w:p>
      <w:pPr>
        <w:spacing w:after="80"/>
      </w:pPr>
    </w:p>
    <w:p>
      <w:pPr>
        <w:spacing w:before="200" w:after="80"/>
      </w:pPr>
      <w:r>
        <w:rPr>
          <w:b/>
          <w:color w:val="16213E"/>
          <w:sz w:val="26"/>
        </w:rPr>
        <w:t>SEKCJA 11 — ANALIZA SPADKU SPRZEDAŻY YoY</w:t>
      </w:r>
    </w:p>
    <w:p>
      <w:pPr>
        <w:spacing w:after="80"/>
      </w:pPr>
      <w:r>
        <w:rPr>
          <w:sz w:val="20"/>
        </w:rPr>
        <w:t>Sekcja stworzona na życzenie — głęboka analiza przyczyn spadku transakcji o 71.4% rok do roku.</w:t>
      </w:r>
    </w:p>
    <w:p>
      <w:pPr>
        <w:spacing w:before="120" w:after="80"/>
      </w:pPr>
      <w:r>
        <w:rPr>
          <w:b/>
          <w:color w:val="0F3D66"/>
          <w:sz w:val="22"/>
        </w:rPr>
        <w:t>Skala problemu</w:t>
      </w:r>
    </w:p>
    <w:p>
      <w:pPr>
        <w:ind w:left="567"/>
      </w:pPr>
      <w:r>
        <w:rPr>
          <w:rFonts w:ascii="Courier New" w:hAnsi="Courier New"/>
          <w:color w:val="333333"/>
          <w:sz w:val="16"/>
        </w:rPr>
        <w:t>Kwiecień 2025: 1 495 transakcji → 1 856 701 PLN</w:t>
      </w:r>
    </w:p>
    <w:p>
      <w:pPr>
        <w:ind w:left="567"/>
      </w:pPr>
      <w:r>
        <w:rPr>
          <w:rFonts w:ascii="Courier New" w:hAnsi="Courier New"/>
          <w:color w:val="333333"/>
          <w:sz w:val="16"/>
        </w:rPr>
        <w:t>Kwiecień 2026:   427 transakcji →   529 914 PLN</w:t>
      </w:r>
    </w:p>
    <w:p>
      <w:pPr>
        <w:ind w:left="567"/>
      </w:pPr>
      <w:r>
        <w:rPr>
          <w:rFonts w:ascii="Courier New" w:hAnsi="Courier New"/>
          <w:color w:val="333333"/>
          <w:sz w:val="16"/>
        </w:rPr>
        <w:t xml:space="preserve">               ————————————————————————————</w:t>
      </w:r>
    </w:p>
    <w:p>
      <w:pPr>
        <w:ind w:left="567"/>
      </w:pPr>
      <w:r>
        <w:rPr>
          <w:rFonts w:ascii="Courier New" w:hAnsi="Courier New"/>
          <w:color w:val="333333"/>
          <w:sz w:val="16"/>
        </w:rPr>
        <w:t>Delta:         -1 068 transakcji → -1 326 787 PLN/msc</w:t>
      </w:r>
    </w:p>
    <w:p>
      <w:pPr>
        <w:spacing w:after="80"/>
      </w:pPr>
      <w:r>
        <w:rPr>
          <w:sz w:val="20"/>
        </w:rPr>
      </w:r>
      <w:r>
        <w:rPr>
          <w:b/>
          <w:sz w:val="20"/>
        </w:rPr>
        <w:t>Sprzedaż spadła o 71.4% przy AOV niemal identycznym (1 241 vs 1 242 PLN)</w:t>
      </w:r>
      <w:r>
        <w:rPr>
          <w:sz w:val="20"/>
        </w:rPr>
        <w:t>— problem nie jest w produktach, cenie ani wartości zamówień.</w:t>
      </w:r>
    </w:p>
    <w:p>
      <w:pPr>
        <w:spacing w:before="120" w:after="80"/>
      </w:pPr>
      <w:r>
        <w:rPr>
          <w:b/>
          <w:color w:val="0F3D66"/>
          <w:sz w:val="22"/>
        </w:rPr>
        <w:t>Analiza kanałów (YoY) — co się zmieniło</w:t>
      </w:r>
    </w:p>
    <w:p>
      <w:pPr>
        <w:spacing w:after="80"/>
      </w:pPr>
      <w:r>
        <w:rPr>
          <w:sz w:val="20"/>
        </w:rPr>
      </w:r>
      <w:r>
        <w:rPr>
          <w:b/>
          <w:sz w:val="20"/>
        </w:rPr>
        <w:t>Paid Search: -92% wolumenu, CR NIEZMIENIONY</w:t>
      </w:r>
      <w:r>
        <w:rPr>
          <w:sz w:val="20"/>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r>
          </w:p>
        </w:tc>
        <w:tc>
          <w:tcPr>
            <w:tcW w:type="dxa" w:w="2351"/>
            <w:shd w:val="clear" w:color="auto" w:fill="1a1a2e"/>
          </w:tcPr>
          <w:p>
            <w:pPr>
              <w:spacing w:before="40" w:after="40"/>
            </w:pPr>
            <w:r>
              <w:rPr>
                <w:b/>
                <w:color w:val="FFFFFF"/>
                <w:sz w:val="17"/>
              </w:rPr>
              <w:t>2026</w:t>
            </w:r>
          </w:p>
        </w:tc>
        <w:tc>
          <w:tcPr>
            <w:tcW w:type="dxa" w:w="2351"/>
            <w:shd w:val="clear" w:color="auto" w:fill="1a1a2e"/>
          </w:tcPr>
          <w:p>
            <w:pPr>
              <w:spacing w:before="40" w:after="40"/>
            </w:pPr>
            <w:r>
              <w:rPr>
                <w:b/>
                <w:color w:val="FFFFFF"/>
                <w:sz w:val="17"/>
              </w:rPr>
              <w:t>2025</w:t>
            </w:r>
          </w:p>
        </w:tc>
        <w:tc>
          <w:tcPr>
            <w:tcW w:type="dxa" w:w="2351"/>
            <w:shd w:val="clear" w:color="auto" w:fill="1a1a2e"/>
          </w:tcPr>
          <w:p>
            <w:pPr>
              <w:spacing w:before="40" w:after="40"/>
            </w:pPr>
            <w:r>
              <w:rPr>
                <w:b/>
                <w:color w:val="FFFFFF"/>
                <w:sz w:val="17"/>
              </w:rPr>
              <w:t>Delta</w:t>
            </w:r>
          </w:p>
        </w:tc>
      </w:tr>
      <w:tr>
        <w:tc>
          <w:tcPr>
            <w:tcW w:type="dxa" w:w="2351"/>
          </w:tcPr>
          <w:p>
            <w:pPr>
              <w:spacing w:before="40" w:after="40"/>
            </w:pPr>
            <w:r>
              <w:rPr>
                <w:sz w:val="17"/>
              </w:rPr>
              <w:t>Sesje</w:t>
            </w:r>
          </w:p>
        </w:tc>
        <w:tc>
          <w:tcPr>
            <w:tcW w:type="dxa" w:w="2351"/>
          </w:tcPr>
          <w:p>
            <w:pPr>
              <w:spacing w:before="40" w:after="40"/>
            </w:pPr>
            <w:r>
              <w:rPr>
                <w:sz w:val="17"/>
              </w:rPr>
              <w:t>4 600</w:t>
            </w:r>
          </w:p>
        </w:tc>
        <w:tc>
          <w:tcPr>
            <w:tcW w:type="dxa" w:w="2351"/>
          </w:tcPr>
          <w:p>
            <w:pPr>
              <w:spacing w:before="40" w:after="40"/>
            </w:pPr>
            <w:r>
              <w:rPr>
                <w:sz w:val="17"/>
              </w:rPr>
              <w:t>58 884</w:t>
            </w:r>
          </w:p>
        </w:tc>
        <w:tc>
          <w:tcPr>
            <w:tcW w:type="dxa" w:w="2351"/>
          </w:tcPr>
          <w:p>
            <w:pPr>
              <w:spacing w:before="40" w:after="40"/>
            </w:pPr>
            <w:r>
              <w:rPr>
                <w:sz w:val="17"/>
              </w:rPr>
              <w:t>-92%</w:t>
            </w:r>
          </w:p>
        </w:tc>
      </w:tr>
      <w:tr>
        <w:tc>
          <w:tcPr>
            <w:tcW w:type="dxa" w:w="2351"/>
          </w:tcPr>
          <w:p>
            <w:pPr>
              <w:spacing w:before="40" w:after="40"/>
            </w:pPr>
            <w:r>
              <w:rPr>
                <w:sz w:val="17"/>
              </w:rPr>
              <w:t>Transakcje</w:t>
            </w:r>
          </w:p>
        </w:tc>
        <w:tc>
          <w:tcPr>
            <w:tcW w:type="dxa" w:w="2351"/>
          </w:tcPr>
          <w:p>
            <w:pPr>
              <w:spacing w:before="40" w:after="40"/>
            </w:pPr>
            <w:r>
              <w:rPr>
                <w:sz w:val="17"/>
              </w:rPr>
              <w:t>14</w:t>
            </w:r>
          </w:p>
        </w:tc>
        <w:tc>
          <w:tcPr>
            <w:tcW w:type="dxa" w:w="2351"/>
          </w:tcPr>
          <w:p>
            <w:pPr>
              <w:spacing w:before="40" w:after="40"/>
            </w:pPr>
            <w:r>
              <w:rPr>
                <w:sz w:val="17"/>
              </w:rPr>
              <w:t>171</w:t>
            </w:r>
          </w:p>
        </w:tc>
        <w:tc>
          <w:tcPr>
            <w:tcW w:type="dxa" w:w="2351"/>
          </w:tcPr>
          <w:p>
            <w:pPr>
              <w:spacing w:before="40" w:after="40"/>
            </w:pPr>
            <w:r>
              <w:rPr>
                <w:sz w:val="17"/>
              </w:rPr>
              <w:t>-92%</w:t>
            </w:r>
          </w:p>
        </w:tc>
      </w:tr>
      <w:tr>
        <w:tc>
          <w:tcPr>
            <w:tcW w:type="dxa" w:w="2351"/>
          </w:tcPr>
          <w:p>
            <w:pPr>
              <w:spacing w:before="40" w:after="40"/>
            </w:pPr>
            <w:r>
              <w:rPr>
                <w:sz w:val="17"/>
              </w:rPr>
              <w:t>CR</w:t>
            </w:r>
          </w:p>
        </w:tc>
        <w:tc>
          <w:tcPr>
            <w:tcW w:type="dxa" w:w="2351"/>
          </w:tcPr>
          <w:p>
            <w:pPr>
              <w:spacing w:before="40" w:after="40"/>
            </w:pPr>
            <w:r>
              <w:rPr>
                <w:sz w:val="17"/>
              </w:rPr>
              <w:t>0.304%</w:t>
            </w:r>
          </w:p>
        </w:tc>
        <w:tc>
          <w:tcPr>
            <w:tcW w:type="dxa" w:w="2351"/>
          </w:tcPr>
          <w:p>
            <w:pPr>
              <w:spacing w:before="40" w:after="40"/>
            </w:pPr>
            <w:r>
              <w:rPr>
                <w:sz w:val="17"/>
              </w:rPr>
              <w:t>0.290%</w:t>
            </w:r>
          </w:p>
        </w:tc>
        <w:tc>
          <w:tcPr>
            <w:tcW w:type="dxa" w:w="2351"/>
          </w:tcPr>
          <w:p>
            <w:pPr>
              <w:spacing w:before="40" w:after="40"/>
            </w:pPr>
            <w:r>
              <w:rPr>
                <w:sz w:val="17"/>
              </w:rPr>
              <w:t>+5%</w:t>
            </w:r>
          </w:p>
        </w:tc>
      </w:tr>
    </w:tbl>
    <w:p/>
    <w:p>
      <w:pPr>
        <w:spacing w:after="80"/>
      </w:pPr>
      <w:r>
        <w:rPr>
          <w:sz w:val="20"/>
        </w:rPr>
        <w:t>CR Paid Search jest TAKI SAM (0.30%). Oznacza to że kampanie Search DZIAŁAŁY dobrze — problem jest wyłącznie w skali (budżet/liczba kampanii). Przy CR 0.30% i 58 884 sesjach (jak w 2025) byłoby ~176 transakcji/msc zamiast 14. Strata = 162 trans × 1 241 PLN =</w:t>
      </w:r>
      <w:r>
        <w:rPr>
          <w:b/>
          <w:sz w:val="20"/>
        </w:rPr>
        <w:t>~201 000 PLN/msc</w:t>
      </w:r>
      <w:r>
        <w:rPr>
          <w:sz w:val="20"/>
        </w:rPr>
        <w:t>.</w:t>
      </w:r>
    </w:p>
    <w:p>
      <w:pPr>
        <w:spacing w:after="80"/>
      </w:pPr>
      <w:r>
        <w:rPr>
          <w:sz w:val="20"/>
        </w:rPr>
      </w:r>
      <w:r>
        <w:rPr>
          <w:b/>
          <w:sz w:val="20"/>
        </w:rPr>
        <w:t>Cross-network (PMax): +63% sesji, CR -77%</w:t>
      </w:r>
      <w:r>
        <w:rPr>
          <w:sz w:val="20"/>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r>
          </w:p>
        </w:tc>
        <w:tc>
          <w:tcPr>
            <w:tcW w:type="dxa" w:w="2351"/>
            <w:shd w:val="clear" w:color="auto" w:fill="1a1a2e"/>
          </w:tcPr>
          <w:p>
            <w:pPr>
              <w:spacing w:before="40" w:after="40"/>
            </w:pPr>
            <w:r>
              <w:rPr>
                <w:b/>
                <w:color w:val="FFFFFF"/>
                <w:sz w:val="17"/>
              </w:rPr>
              <w:t>2026</w:t>
            </w:r>
          </w:p>
        </w:tc>
        <w:tc>
          <w:tcPr>
            <w:tcW w:type="dxa" w:w="2351"/>
            <w:shd w:val="clear" w:color="auto" w:fill="1a1a2e"/>
          </w:tcPr>
          <w:p>
            <w:pPr>
              <w:spacing w:before="40" w:after="40"/>
            </w:pPr>
            <w:r>
              <w:rPr>
                <w:b/>
                <w:color w:val="FFFFFF"/>
                <w:sz w:val="17"/>
              </w:rPr>
              <w:t>2025</w:t>
            </w:r>
          </w:p>
        </w:tc>
        <w:tc>
          <w:tcPr>
            <w:tcW w:type="dxa" w:w="2351"/>
            <w:shd w:val="clear" w:color="auto" w:fill="1a1a2e"/>
          </w:tcPr>
          <w:p>
            <w:pPr>
              <w:spacing w:before="40" w:after="40"/>
            </w:pPr>
            <w:r>
              <w:rPr>
                <w:b/>
                <w:color w:val="FFFFFF"/>
                <w:sz w:val="17"/>
              </w:rPr>
              <w:t>Delta</w:t>
            </w:r>
          </w:p>
        </w:tc>
      </w:tr>
      <w:tr>
        <w:tc>
          <w:tcPr>
            <w:tcW w:type="dxa" w:w="2351"/>
          </w:tcPr>
          <w:p>
            <w:pPr>
              <w:spacing w:before="40" w:after="40"/>
            </w:pPr>
            <w:r>
              <w:rPr>
                <w:sz w:val="17"/>
              </w:rPr>
              <w:t>Sesje</w:t>
            </w:r>
          </w:p>
        </w:tc>
        <w:tc>
          <w:tcPr>
            <w:tcW w:type="dxa" w:w="2351"/>
          </w:tcPr>
          <w:p>
            <w:pPr>
              <w:spacing w:before="40" w:after="40"/>
            </w:pPr>
            <w:r>
              <w:rPr>
                <w:sz w:val="17"/>
              </w:rPr>
              <w:t>137 557</w:t>
            </w:r>
          </w:p>
        </w:tc>
        <w:tc>
          <w:tcPr>
            <w:tcW w:type="dxa" w:w="2351"/>
          </w:tcPr>
          <w:p>
            <w:pPr>
              <w:spacing w:before="40" w:after="40"/>
            </w:pPr>
            <w:r>
              <w:rPr>
                <w:sz w:val="17"/>
              </w:rPr>
              <w:t>84 140</w:t>
            </w:r>
          </w:p>
        </w:tc>
        <w:tc>
          <w:tcPr>
            <w:tcW w:type="dxa" w:w="2351"/>
          </w:tcPr>
          <w:p>
            <w:pPr>
              <w:spacing w:before="40" w:after="40"/>
            </w:pPr>
            <w:r>
              <w:rPr>
                <w:sz w:val="17"/>
              </w:rPr>
              <w:t>+63%</w:t>
            </w:r>
          </w:p>
        </w:tc>
      </w:tr>
      <w:tr>
        <w:tc>
          <w:tcPr>
            <w:tcW w:type="dxa" w:w="2351"/>
          </w:tcPr>
          <w:p>
            <w:pPr>
              <w:spacing w:before="40" w:after="40"/>
            </w:pPr>
            <w:r>
              <w:rPr>
                <w:sz w:val="17"/>
              </w:rPr>
              <w:t>Transakcje</w:t>
            </w:r>
          </w:p>
        </w:tc>
        <w:tc>
          <w:tcPr>
            <w:tcW w:type="dxa" w:w="2351"/>
          </w:tcPr>
          <w:p>
            <w:pPr>
              <w:spacing w:before="40" w:after="40"/>
            </w:pPr>
            <w:r>
              <w:rPr>
                <w:sz w:val="17"/>
              </w:rPr>
              <w:t>70</w:t>
            </w:r>
          </w:p>
        </w:tc>
        <w:tc>
          <w:tcPr>
            <w:tcW w:type="dxa" w:w="2351"/>
          </w:tcPr>
          <w:p>
            <w:pPr>
              <w:spacing w:before="40" w:after="40"/>
            </w:pPr>
            <w:r>
              <w:rPr>
                <w:sz w:val="17"/>
              </w:rPr>
              <w:t>186</w:t>
            </w:r>
          </w:p>
        </w:tc>
        <w:tc>
          <w:tcPr>
            <w:tcW w:type="dxa" w:w="2351"/>
          </w:tcPr>
          <w:p>
            <w:pPr>
              <w:spacing w:before="40" w:after="40"/>
            </w:pPr>
            <w:r>
              <w:rPr>
                <w:sz w:val="17"/>
              </w:rPr>
              <w:t>-62%</w:t>
            </w:r>
          </w:p>
        </w:tc>
      </w:tr>
      <w:tr>
        <w:tc>
          <w:tcPr>
            <w:tcW w:type="dxa" w:w="2351"/>
          </w:tcPr>
          <w:p>
            <w:pPr>
              <w:spacing w:before="40" w:after="40"/>
            </w:pPr>
            <w:r>
              <w:rPr>
                <w:sz w:val="17"/>
              </w:rPr>
              <w:t>CR</w:t>
            </w:r>
          </w:p>
        </w:tc>
        <w:tc>
          <w:tcPr>
            <w:tcW w:type="dxa" w:w="2351"/>
          </w:tcPr>
          <w:p>
            <w:pPr>
              <w:spacing w:before="40" w:after="40"/>
            </w:pPr>
            <w:r>
              <w:rPr>
                <w:sz w:val="17"/>
              </w:rPr>
              <w:t>0.051%</w:t>
            </w:r>
          </w:p>
        </w:tc>
        <w:tc>
          <w:tcPr>
            <w:tcW w:type="dxa" w:w="2351"/>
          </w:tcPr>
          <w:p>
            <w:pPr>
              <w:spacing w:before="40" w:after="40"/>
            </w:pPr>
            <w:r>
              <w:rPr>
                <w:sz w:val="17"/>
              </w:rPr>
              <w:t>0.221%</w:t>
            </w:r>
          </w:p>
        </w:tc>
        <w:tc>
          <w:tcPr>
            <w:tcW w:type="dxa" w:w="2351"/>
          </w:tcPr>
          <w:p>
            <w:pPr>
              <w:spacing w:before="40" w:after="40"/>
            </w:pPr>
            <w:r>
              <w:rPr>
                <w:sz w:val="17"/>
              </w:rPr>
              <w:t>-77%</w:t>
            </w:r>
          </w:p>
        </w:tc>
      </w:tr>
    </w:tbl>
    <w:p/>
    <w:p>
      <w:pPr>
        <w:spacing w:after="80"/>
      </w:pPr>
      <w:r>
        <w:rPr>
          <w:sz w:val="20"/>
        </w:rPr>
        <w:t>PMax dostał więcej budżetu (sesje +63%) ale konwertuje 4× gorzej. Hipoteza: w 2026 PMax optymalizuje na sygnał ecommercePurchases = 1 610 (zaburzone), podczas gdy w 2025 sygnał był ecommercePurchases = 1 515 ≈ transactions = 1 495 (normalne). Fałszywe sygnały sprawiają, że PMax "myśli" że konwertuje dobrze i kupuje tani, niekonwertujący ruch.</w:t>
      </w:r>
    </w:p>
    <w:p>
      <w:pPr>
        <w:spacing w:after="80"/>
      </w:pPr>
      <w:r>
        <w:rPr>
          <w:sz w:val="20"/>
        </w:rPr>
      </w:r>
      <w:r>
        <w:rPr>
          <w:b/>
          <w:sz w:val="20"/>
        </w:rPr>
        <w:t>Direct: -46% sesji, CR -83%</w:t>
      </w:r>
      <w:r>
        <w:rPr>
          <w:sz w:val="20"/>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r>
          </w:p>
        </w:tc>
        <w:tc>
          <w:tcPr>
            <w:tcW w:type="dxa" w:w="2351"/>
            <w:shd w:val="clear" w:color="auto" w:fill="1a1a2e"/>
          </w:tcPr>
          <w:p>
            <w:pPr>
              <w:spacing w:before="40" w:after="40"/>
            </w:pPr>
            <w:r>
              <w:rPr>
                <w:b/>
                <w:color w:val="FFFFFF"/>
                <w:sz w:val="17"/>
              </w:rPr>
              <w:t>2026</w:t>
            </w:r>
          </w:p>
        </w:tc>
        <w:tc>
          <w:tcPr>
            <w:tcW w:type="dxa" w:w="2351"/>
            <w:shd w:val="clear" w:color="auto" w:fill="1a1a2e"/>
          </w:tcPr>
          <w:p>
            <w:pPr>
              <w:spacing w:before="40" w:after="40"/>
            </w:pPr>
            <w:r>
              <w:rPr>
                <w:b/>
                <w:color w:val="FFFFFF"/>
                <w:sz w:val="17"/>
              </w:rPr>
              <w:t>2025</w:t>
            </w:r>
          </w:p>
        </w:tc>
        <w:tc>
          <w:tcPr>
            <w:tcW w:type="dxa" w:w="2351"/>
            <w:shd w:val="clear" w:color="auto" w:fill="1a1a2e"/>
          </w:tcPr>
          <w:p>
            <w:pPr>
              <w:spacing w:before="40" w:after="40"/>
            </w:pPr>
            <w:r>
              <w:rPr>
                <w:b/>
                <w:color w:val="FFFFFF"/>
                <w:sz w:val="17"/>
              </w:rPr>
              <w:t>Delta</w:t>
            </w:r>
          </w:p>
        </w:tc>
      </w:tr>
      <w:tr>
        <w:tc>
          <w:tcPr>
            <w:tcW w:type="dxa" w:w="2351"/>
          </w:tcPr>
          <w:p>
            <w:pPr>
              <w:spacing w:before="40" w:after="40"/>
            </w:pPr>
            <w:r>
              <w:rPr>
                <w:sz w:val="17"/>
              </w:rPr>
              <w:t>Sesje</w:t>
            </w:r>
          </w:p>
        </w:tc>
        <w:tc>
          <w:tcPr>
            <w:tcW w:type="dxa" w:w="2351"/>
          </w:tcPr>
          <w:p>
            <w:pPr>
              <w:spacing w:before="40" w:after="40"/>
            </w:pPr>
            <w:r>
              <w:rPr>
                <w:sz w:val="17"/>
              </w:rPr>
              <w:t>17 459</w:t>
            </w:r>
          </w:p>
        </w:tc>
        <w:tc>
          <w:tcPr>
            <w:tcW w:type="dxa" w:w="2351"/>
          </w:tcPr>
          <w:p>
            <w:pPr>
              <w:spacing w:before="40" w:after="40"/>
            </w:pPr>
            <w:r>
              <w:rPr>
                <w:sz w:val="17"/>
              </w:rPr>
              <w:t>32 297</w:t>
            </w:r>
          </w:p>
        </w:tc>
        <w:tc>
          <w:tcPr>
            <w:tcW w:type="dxa" w:w="2351"/>
          </w:tcPr>
          <w:p>
            <w:pPr>
              <w:spacing w:before="40" w:after="40"/>
            </w:pPr>
            <w:r>
              <w:rPr>
                <w:sz w:val="17"/>
              </w:rPr>
              <w:t>-46%</w:t>
            </w:r>
          </w:p>
        </w:tc>
      </w:tr>
      <w:tr>
        <w:tc>
          <w:tcPr>
            <w:tcW w:type="dxa" w:w="2351"/>
          </w:tcPr>
          <w:p>
            <w:pPr>
              <w:spacing w:before="40" w:after="40"/>
            </w:pPr>
            <w:r>
              <w:rPr>
                <w:sz w:val="17"/>
              </w:rPr>
              <w:t>Transakcje</w:t>
            </w:r>
          </w:p>
        </w:tc>
        <w:tc>
          <w:tcPr>
            <w:tcW w:type="dxa" w:w="2351"/>
          </w:tcPr>
          <w:p>
            <w:pPr>
              <w:spacing w:before="40" w:after="40"/>
            </w:pPr>
            <w:r>
              <w:rPr>
                <w:sz w:val="17"/>
              </w:rPr>
              <w:t>19</w:t>
            </w:r>
          </w:p>
        </w:tc>
        <w:tc>
          <w:tcPr>
            <w:tcW w:type="dxa" w:w="2351"/>
          </w:tcPr>
          <w:p>
            <w:pPr>
              <w:spacing w:before="40" w:after="40"/>
            </w:pPr>
            <w:r>
              <w:rPr>
                <w:sz w:val="17"/>
              </w:rPr>
              <w:t>212</w:t>
            </w:r>
          </w:p>
        </w:tc>
        <w:tc>
          <w:tcPr>
            <w:tcW w:type="dxa" w:w="2351"/>
          </w:tcPr>
          <w:p>
            <w:pPr>
              <w:spacing w:before="40" w:after="40"/>
            </w:pPr>
            <w:r>
              <w:rPr>
                <w:sz w:val="17"/>
              </w:rPr>
              <w:t>-91%</w:t>
            </w:r>
          </w:p>
        </w:tc>
      </w:tr>
      <w:tr>
        <w:tc>
          <w:tcPr>
            <w:tcW w:type="dxa" w:w="2351"/>
          </w:tcPr>
          <w:p>
            <w:pPr>
              <w:spacing w:before="40" w:after="40"/>
            </w:pPr>
            <w:r>
              <w:rPr>
                <w:sz w:val="17"/>
              </w:rPr>
              <w:t>CR</w:t>
            </w:r>
          </w:p>
        </w:tc>
        <w:tc>
          <w:tcPr>
            <w:tcW w:type="dxa" w:w="2351"/>
          </w:tcPr>
          <w:p>
            <w:pPr>
              <w:spacing w:before="40" w:after="40"/>
            </w:pPr>
            <w:r>
              <w:rPr>
                <w:sz w:val="17"/>
              </w:rPr>
              <w:t>0.109%</w:t>
            </w:r>
          </w:p>
        </w:tc>
        <w:tc>
          <w:tcPr>
            <w:tcW w:type="dxa" w:w="2351"/>
          </w:tcPr>
          <w:p>
            <w:pPr>
              <w:spacing w:before="40" w:after="40"/>
            </w:pPr>
            <w:r>
              <w:rPr>
                <w:sz w:val="17"/>
              </w:rPr>
              <w:t>0.656%</w:t>
            </w:r>
          </w:p>
        </w:tc>
        <w:tc>
          <w:tcPr>
            <w:tcW w:type="dxa" w:w="2351"/>
          </w:tcPr>
          <w:p>
            <w:pPr>
              <w:spacing w:before="40" w:after="40"/>
            </w:pPr>
            <w:r>
              <w:rPr>
                <w:sz w:val="17"/>
              </w:rPr>
              <w:t>-83%</w:t>
            </w:r>
          </w:p>
        </w:tc>
      </w:tr>
    </w:tbl>
    <w:p/>
    <w:p>
      <w:pPr>
        <w:spacing w:after="80"/>
      </w:pPr>
      <w:r>
        <w:rPr>
          <w:sz w:val="20"/>
        </w:rPr>
        <w:t>Dramatyczny spadek CR ruchu bezpośredniego (-83%) sugeruje, że stali klienci (lojalni, znający markę) kupują rzadziej. Może wskazywać na:</w:t>
      </w:r>
    </w:p>
    <w:p>
      <w:pPr>
        <w:pStyle w:val="ListBullet"/>
        <w:spacing w:after="40"/>
        <w:ind w:left="283"/>
      </w:pPr>
      <w:r>
        <w:rPr>
          <w:sz w:val="20"/>
        </w:rPr>
        <w:t>Pogorszenie oferty/dostępności produktów</w:t>
      </w:r>
    </w:p>
    <w:p>
      <w:pPr>
        <w:pStyle w:val="ListBullet"/>
        <w:spacing w:after="40"/>
        <w:ind w:left="283"/>
      </w:pPr>
      <w:r>
        <w:rPr>
          <w:sz w:val="20"/>
        </w:rPr>
        <w:t>Problemy z kontem klienta (logowanie, historia zamówień)</w:t>
      </w:r>
    </w:p>
    <w:p>
      <w:pPr>
        <w:pStyle w:val="ListBullet"/>
        <w:spacing w:after="40"/>
        <w:ind w:left="283"/>
      </w:pPr>
      <w:r>
        <w:rPr>
          <w:sz w:val="20"/>
        </w:rPr>
        <w:t>Zmieniona ścieżka checkout zniechęcająca do powrotu</w:t>
      </w:r>
    </w:p>
    <w:p>
      <w:pPr>
        <w:spacing w:after="80"/>
      </w:pPr>
      <w:r>
        <w:rPr>
          <w:sz w:val="20"/>
        </w:rPr>
      </w:r>
      <w:r>
        <w:rPr>
          <w:b/>
          <w:sz w:val="20"/>
        </w:rPr>
        <w:t>Organic Search: -43% sesji, CR -33%</w:t>
      </w:r>
      <w:r>
        <w:rPr>
          <w:sz w:val="20"/>
        </w:rPr>
      </w:r>
    </w:p>
    <w:p>
      <w:pPr>
        <w:spacing w:after="80"/>
      </w:pPr>
      <w:r>
        <w:rPr>
          <w:sz w:val="20"/>
        </w:rPr>
        <w:t>Dwoisty problem: mniej ruchu organicznego I niższy CR z tego ruchu. Sugeruje zmiany w algorytmie Google (mniej widoczności na frazy non-brand) ORAZ degradację landing pages.</w:t>
      </w:r>
    </w:p>
    <w:p>
      <w:pPr>
        <w:spacing w:after="80"/>
      </w:pPr>
      <w:r>
        <w:rPr>
          <w:sz w:val="20"/>
        </w:rPr>
      </w:r>
      <w:r>
        <w:rPr>
          <w:b/>
          <w:sz w:val="20"/>
        </w:rPr>
        <w:t>Email (edrone): -42% sesji, CR -60%</w:t>
      </w:r>
      <w:r>
        <w:rPr>
          <w:sz w:val="20"/>
        </w:rPr>
      </w:r>
    </w:p>
    <w:p>
      <w:pPr>
        <w:spacing w:after="80"/>
      </w:pPr>
      <w:r>
        <w:rPr>
          <w:sz w:val="20"/>
        </w:rPr>
        <w:t>Znaczny spadek efektywności email marketingu. Możliwe: zmniejszona aktywność wysyłek lub gorsza segmentacja.</w:t>
      </w:r>
    </w:p>
    <w:p>
      <w:pPr>
        <w:spacing w:before="120" w:after="80"/>
      </w:pPr>
      <w:r>
        <w:rPr>
          <w:b/>
          <w:color w:val="0F3D66"/>
          <w:sz w:val="22"/>
        </w:rPr>
        <w:t>Główne hipotezy wyjaśniające -71.4%</w:t>
      </w:r>
    </w:p>
    <w:p>
      <w:pPr>
        <w:spacing w:after="80"/>
      </w:pPr>
      <w:r>
        <w:rPr>
          <w:sz w:val="20"/>
        </w:rPr>
      </w:r>
      <w:r>
        <w:rPr>
          <w:b/>
          <w:sz w:val="20"/>
        </w:rPr>
        <w:t>H1 — Wyłączenie kampanii Google Search (UDOWODNIONE)</w:t>
      </w:r>
      <w:r>
        <w:rPr>
          <w:sz w:val="20"/>
        </w:rPr>
      </w:r>
    </w:p>
    <w:p>
      <w:pPr>
        <w:pStyle w:val="ListBullet"/>
        <w:spacing w:after="40"/>
        <w:ind w:left="283"/>
      </w:pPr>
      <w:r>
        <w:rPr>
          <w:sz w:val="20"/>
        </w:rPr>
        <w:t>Sesje Paid Search: -92%</w:t>
      </w:r>
    </w:p>
    <w:p>
      <w:pPr>
        <w:pStyle w:val="ListBullet"/>
        <w:spacing w:after="40"/>
        <w:ind w:left="283"/>
      </w:pPr>
      <w:r>
        <w:rPr>
          <w:sz w:val="20"/>
        </w:rPr>
        <w:t>CR Paid Search: +5% (stabilne)</w:t>
      </w:r>
    </w:p>
    <w:p>
      <w:pPr>
        <w:pStyle w:val="ListBullet"/>
        <w:spacing w:after="40"/>
        <w:ind w:left="283"/>
      </w:pPr>
      <w:r>
        <w:rPr>
          <w:sz w:val="20"/>
        </w:rPr>
        <w:t>Wniosek: budżet Search drastycznie obcięty lub kampanie wyłączone</w:t>
      </w:r>
    </w:p>
    <w:p>
      <w:pPr>
        <w:pStyle w:val="ListBullet"/>
        <w:spacing w:after="40"/>
        <w:ind w:left="283"/>
      </w:pPr>
      <w:r>
        <w:rPr>
          <w:sz w:val="20"/>
        </w:rPr>
        <w:t>Szacunkowa strata: ~162 trans/msc × 1 241 PLN =</w:t>
      </w:r>
      <w:r>
        <w:rPr>
          <w:b/>
          <w:sz w:val="20"/>
        </w:rPr>
        <w:t>~201 000 PLN/msc</w:t>
      </w:r>
      <w:r>
        <w:rPr>
          <w:sz w:val="20"/>
        </w:rPr>
      </w:r>
    </w:p>
    <w:p>
      <w:pPr>
        <w:spacing w:after="80"/>
      </w:pPr>
      <w:r>
        <w:rPr>
          <w:sz w:val="20"/>
        </w:rPr>
      </w:r>
      <w:r>
        <w:rPr>
          <w:b/>
          <w:sz w:val="20"/>
        </w:rPr>
        <w:t>H2 — PMax zoptymalizowany na fałszywe dane (UDOWODNIONE)</w:t>
      </w:r>
      <w:r>
        <w:rPr>
          <w:sz w:val="20"/>
        </w:rPr>
      </w:r>
    </w:p>
    <w:p>
      <w:pPr>
        <w:pStyle w:val="ListBullet"/>
        <w:spacing w:after="40"/>
        <w:ind w:left="283"/>
      </w:pPr>
      <w:r>
        <w:rPr>
          <w:sz w:val="20"/>
        </w:rPr>
        <w:t>Malformed transaction IDs powodują że PMax "widzi" 3.77× więcej konwersji niż faktycznie jest</w:t>
      </w:r>
    </w:p>
    <w:p>
      <w:pPr>
        <w:pStyle w:val="ListBullet"/>
        <w:spacing w:after="40"/>
        <w:ind w:left="283"/>
      </w:pPr>
      <w:r>
        <w:rPr>
          <w:sz w:val="20"/>
        </w:rPr>
        <w:t>PMax zwiększa zasięg ale na jakościowo słabym ruchu</w:t>
      </w:r>
    </w:p>
    <w:p>
      <w:pPr>
        <w:pStyle w:val="ListBullet"/>
        <w:spacing w:after="40"/>
        <w:ind w:left="283"/>
      </w:pPr>
      <w:r>
        <w:rPr>
          <w:sz w:val="20"/>
        </w:rPr>
        <w:t>CR PMax: -77% YoY przy +63% sesji</w:t>
      </w:r>
    </w:p>
    <w:p>
      <w:pPr>
        <w:pStyle w:val="ListBullet"/>
        <w:spacing w:after="40"/>
        <w:ind w:left="283"/>
      </w:pPr>
      <w:r>
        <w:rPr>
          <w:sz w:val="20"/>
        </w:rPr>
        <w:t>Szacunkowa strata: ~116 trans/msc × 1 241 PLN =</w:t>
      </w:r>
      <w:r>
        <w:rPr>
          <w:b/>
          <w:sz w:val="20"/>
        </w:rPr>
        <w:t>~144 000 PLN/msc</w:t>
      </w:r>
      <w:r>
        <w:rPr>
          <w:sz w:val="20"/>
        </w:rPr>
      </w:r>
    </w:p>
    <w:p>
      <w:pPr>
        <w:spacing w:after="80"/>
      </w:pPr>
      <w:r>
        <w:rPr>
          <w:sz w:val="20"/>
        </w:rPr>
      </w:r>
      <w:r>
        <w:rPr>
          <w:b/>
          <w:sz w:val="20"/>
        </w:rPr>
        <w:t>H3 — Degradacja mobile (UDOWODNIONE)</w:t>
      </w:r>
      <w:r>
        <w:rPr>
          <w:sz w:val="20"/>
        </w:rPr>
      </w:r>
    </w:p>
    <w:p>
      <w:pPr>
        <w:pStyle w:val="ListBullet"/>
        <w:spacing w:after="40"/>
        <w:ind w:left="283"/>
      </w:pPr>
      <w:r>
        <w:rPr>
          <w:sz w:val="20"/>
        </w:rPr>
        <w:t>Mobile CR: -67% YoY (0.288% → 0.095%)</w:t>
      </w:r>
    </w:p>
    <w:p>
      <w:pPr>
        <w:pStyle w:val="ListBullet"/>
        <w:spacing w:after="40"/>
        <w:ind w:left="283"/>
      </w:pPr>
      <w:r>
        <w:rPr>
          <w:sz w:val="20"/>
        </w:rPr>
        <w:t>Desktop CR: -41% YoY (0.466% → 0.276%)</w:t>
      </w:r>
    </w:p>
    <w:p>
      <w:pPr>
        <w:pStyle w:val="ListBullet"/>
        <w:spacing w:after="40"/>
        <w:ind w:left="283"/>
      </w:pPr>
      <w:r>
        <w:rPr>
          <w:sz w:val="20"/>
        </w:rPr>
        <w:t>Mobile stracił 3× więcej niż desktop → problem specyficzny dla mobile</w:t>
      </w:r>
    </w:p>
    <w:p>
      <w:pPr>
        <w:pStyle w:val="ListBullet"/>
        <w:spacing w:after="40"/>
        <w:ind w:left="283"/>
      </w:pPr>
      <w:r>
        <w:rPr>
          <w:sz w:val="20"/>
        </w:rPr>
        <w:t>Szacunkowa strata: ~280 trans/msc × 1 241 PLN =</w:t>
      </w:r>
      <w:r>
        <w:rPr>
          <w:b/>
          <w:sz w:val="20"/>
        </w:rPr>
        <w:t>~347 000 PLN/msc</w:t>
      </w:r>
      <w:r>
        <w:rPr>
          <w:sz w:val="20"/>
        </w:rPr>
      </w:r>
    </w:p>
    <w:p>
      <w:pPr>
        <w:spacing w:after="80"/>
      </w:pPr>
      <w:r>
        <w:rPr>
          <w:sz w:val="20"/>
        </w:rPr>
      </w:r>
      <w:r>
        <w:rPr>
          <w:b/>
          <w:sz w:val="20"/>
        </w:rPr>
        <w:t>H4 — Brak promocji porównywalnych do 2025 (PRAWDOPODOBNE)</w:t>
      </w:r>
      <w:r>
        <w:rPr>
          <w:sz w:val="20"/>
        </w:rPr>
      </w:r>
    </w:p>
    <w:p>
      <w:pPr>
        <w:pStyle w:val="ListBullet"/>
        <w:spacing w:after="40"/>
        <w:ind w:left="283"/>
      </w:pPr>
      <w:r>
        <w:rPr>
          <w:sz w:val="20"/>
        </w:rPr>
        <w:t>W 2025 były skoki: 125 trans/dzień (14.03), 113 (26.03), 110 (31.03)</w:t>
      </w:r>
    </w:p>
    <w:p>
      <w:pPr>
        <w:pStyle w:val="ListBullet"/>
        <w:spacing w:after="40"/>
        <w:ind w:left="283"/>
      </w:pPr>
      <w:r>
        <w:rPr>
          <w:sz w:val="20"/>
        </w:rPr>
        <w:t>W 2026 max = 29 trans/dzień</w:t>
      </w:r>
    </w:p>
    <w:p>
      <w:pPr>
        <w:pStyle w:val="ListBullet"/>
        <w:spacing w:after="40"/>
        <w:ind w:left="283"/>
      </w:pPr>
      <w:r>
        <w:rPr>
          <w:sz w:val="20"/>
        </w:rPr>
        <w:t>Jeśli 2025 zawierał wielką wyprzedaż której w 2026 nie było, część różnicy YoY = czynnik sezonowy</w:t>
      </w:r>
    </w:p>
    <w:p>
      <w:pPr>
        <w:pStyle w:val="ListBullet"/>
        <w:spacing w:after="40"/>
        <w:ind w:left="283"/>
      </w:pPr>
      <w:r>
        <w:rPr>
          <w:sz w:val="20"/>
        </w:rPr>
        <w:t>Nie da się precyzyjnie oddzielić od innych przyczyn</w:t>
      </w:r>
    </w:p>
    <w:p>
      <w:pPr>
        <w:spacing w:after="80"/>
      </w:pPr>
      <w:r>
        <w:rPr>
          <w:sz w:val="20"/>
        </w:rPr>
      </w:r>
      <w:r>
        <w:rPr>
          <w:b/>
          <w:sz w:val="20"/>
        </w:rPr>
        <w:t>H5 — Problemy techniczne podczas migracji/aktualizacji (CZĘŚCIOWO POTWIERDZONE)</w:t>
      </w:r>
      <w:r>
        <w:rPr>
          <w:sz w:val="20"/>
        </w:rPr>
      </w:r>
    </w:p>
    <w:p>
      <w:pPr>
        <w:pStyle w:val="ListBullet"/>
        <w:spacing w:after="40"/>
        <w:ind w:left="283"/>
      </w:pPr>
      <w:r>
        <w:rPr>
          <w:sz w:val="20"/>
        </w:rPr>
        <w:t>Malformed IDs pojawiły się w 2026 (brak w 2025) → zmiana w kodzie strony</w:t>
      </w:r>
    </w:p>
    <w:p>
      <w:pPr>
        <w:pStyle w:val="ListBullet"/>
        <w:spacing w:after="40"/>
        <w:ind w:left="283"/>
      </w:pPr>
      <w:r>
        <w:rPr>
          <w:sz w:val="20"/>
        </w:rPr>
        <w:t>Zmiana formatu item_id: 2025 = 09009-32 (stary format), 2026 = 26271 (numeryczny) → migracja katalogu</w:t>
      </w:r>
    </w:p>
    <w:p>
      <w:pPr>
        <w:pStyle w:val="ListBullet"/>
        <w:spacing w:after="40"/>
        <w:ind w:left="283"/>
      </w:pPr>
      <w:r>
        <w:rPr>
          <w:sz w:val="20"/>
        </w:rPr>
        <w:t>Anomalia 04.04: 9 564 sesji, 0 transakcji → incydent techniczny</w:t>
      </w:r>
    </w:p>
    <w:p>
      <w:pPr>
        <w:pStyle w:val="ListBullet"/>
        <w:spacing w:after="40"/>
        <w:ind w:left="283"/>
      </w:pPr>
      <w:r>
        <w:rPr>
          <w:sz w:val="20"/>
        </w:rPr>
        <w:t>Lejek rozbity (add_shipping_info &gt; begin_checkout)</w:t>
      </w:r>
    </w:p>
    <w:p>
      <w:pPr>
        <w:spacing w:before="120" w:after="80"/>
      </w:pPr>
      <w:r>
        <w:rPr>
          <w:b/>
          <w:color w:val="0F3D66"/>
          <w:sz w:val="22"/>
        </w:rPr>
        <w:t>Priorytetyzacja działań</w:t>
      </w:r>
    </w:p>
    <w:p>
      <w:pPr>
        <w:ind w:left="567"/>
      </w:pPr>
      <w:r>
        <w:rPr>
          <w:rFonts w:ascii="Courier New" w:hAnsi="Courier New"/>
          <w:color w:val="333333"/>
          <w:sz w:val="16"/>
        </w:rPr>
        <w:t>🔴 Naprawić malformed IDs (GTM) → PMax przestanie optymalizować na fałszywe dane</w:t>
      </w:r>
    </w:p>
    <w:p>
      <w:pPr>
        <w:ind w:left="567"/>
      </w:pPr>
      <w:r>
        <w:rPr>
          <w:rFonts w:ascii="Courier New" w:hAnsi="Courier New"/>
          <w:color w:val="333333"/>
          <w:sz w:val="16"/>
        </w:rPr>
        <w:t>🔴 Przywrócić kampanie Search → odzysk ~200k PLN/msc</w:t>
      </w:r>
    </w:p>
    <w:p>
      <w:pPr>
        <w:ind w:left="567"/>
      </w:pPr>
      <w:r>
        <w:rPr>
          <w:rFonts w:ascii="Courier New" w:hAnsi="Courier New"/>
          <w:color w:val="333333"/>
          <w:sz w:val="16"/>
        </w:rPr>
        <w:t>🔴 Audyt UX mobile → odzysk ~100-350k PLN/msc</w:t>
      </w:r>
    </w:p>
    <w:p>
      <w:pPr>
        <w:ind w:left="567"/>
      </w:pPr>
      <w:r>
        <w:rPr>
          <w:rFonts w:ascii="Courier New" w:hAnsi="Courier New"/>
          <w:color w:val="333333"/>
          <w:sz w:val="16"/>
        </w:rPr>
        <w:t>🟡 Naprawić tracking malformed snippet → czyste dane</w:t>
      </w:r>
    </w:p>
    <w:p>
      <w:pPr>
        <w:ind w:left="567"/>
      </w:pPr>
      <w:r>
        <w:rPr>
          <w:rFonts w:ascii="Courier New" w:hAnsi="Courier New"/>
          <w:color w:val="333333"/>
          <w:sz w:val="16"/>
        </w:rPr>
        <w:t>🟡 Wdrożyć abandoned cart emails → ~100k PLN/msc</w:t>
      </w:r>
    </w:p>
    <w:p>
      <w:pPr>
        <w:spacing w:after="80"/>
      </w:pPr>
    </w:p>
    <w:p>
      <w:pPr>
        <w:spacing w:before="200" w:after="80"/>
      </w:pPr>
      <w:r>
        <w:rPr>
          <w:b/>
          <w:color w:val="16213E"/>
          <w:sz w:val="26"/>
        </w:rPr>
        <w:t>CZĘŚĆ II.B — Impact finansowy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pPr>
              <w:spacing w:before="40" w:after="40"/>
            </w:pPr>
            <w:r>
              <w:rPr>
                <w:b/>
                <w:color w:val="FFFFFF"/>
                <w:sz w:val="17"/>
              </w:rPr>
              <w:t>Problem</w:t>
            </w:r>
          </w:p>
        </w:tc>
        <w:tc>
          <w:tcPr>
            <w:tcW w:type="dxa" w:w="2351"/>
            <w:shd w:val="clear" w:color="auto" w:fill="1a1a2e"/>
          </w:tcPr>
          <w:p>
            <w:pPr>
              <w:spacing w:before="40" w:after="40"/>
            </w:pPr>
            <w:r>
              <w:rPr>
                <w:b/>
                <w:color w:val="FFFFFF"/>
                <w:sz w:val="17"/>
              </w:rPr>
              <w:t>Szacunek PLN/msc</w:t>
            </w:r>
          </w:p>
        </w:tc>
        <w:tc>
          <w:tcPr>
            <w:tcW w:type="dxa" w:w="2351"/>
            <w:shd w:val="clear" w:color="auto" w:fill="1a1a2e"/>
          </w:tcPr>
          <w:p>
            <w:pPr>
              <w:spacing w:before="40" w:after="40"/>
            </w:pPr>
            <w:r>
              <w:rPr>
                <w:b/>
                <w:color w:val="FFFFFF"/>
                <w:sz w:val="17"/>
              </w:rPr>
              <w:t>Źródło danych</w:t>
            </w:r>
          </w:p>
        </w:tc>
        <w:tc>
          <w:tcPr>
            <w:tcW w:type="dxa" w:w="2351"/>
            <w:shd w:val="clear" w:color="auto" w:fill="1a1a2e"/>
          </w:tcPr>
          <w:p>
            <w:pPr>
              <w:spacing w:before="40" w:after="40"/>
            </w:pPr>
            <w:r>
              <w:rPr>
                <w:b/>
                <w:color w:val="FFFFFF"/>
                <w:sz w:val="17"/>
              </w:rPr>
              <w:t>Priorytet</w:t>
            </w:r>
          </w:p>
        </w:tc>
      </w:tr>
      <w:tr>
        <w:tc>
          <w:tcPr>
            <w:tcW w:type="dxa" w:w="2351"/>
          </w:tcPr>
          <w:p>
            <w:pPr>
              <w:spacing w:before="40" w:after="40"/>
            </w:pPr>
            <w:r>
              <w:rPr>
                <w:sz w:val="17"/>
              </w:rPr>
              <w:t>Paid Search wyłączone (-92% sesji)</w:t>
            </w:r>
          </w:p>
        </w:tc>
        <w:tc>
          <w:tcPr>
            <w:tcW w:type="dxa" w:w="2351"/>
          </w:tcPr>
          <w:p>
            <w:pPr>
              <w:spacing w:before="40" w:after="40"/>
            </w:pPr>
            <w:r>
              <w:rPr>
                <w:sz w:val="17"/>
              </w:rPr>
              <w:t>~200 000 strata</w:t>
            </w:r>
          </w:p>
        </w:tc>
        <w:tc>
          <w:tcPr>
            <w:tcW w:type="dxa" w:w="2351"/>
          </w:tcPr>
          <w:p>
            <w:pPr>
              <w:spacing w:before="40" w:after="40"/>
            </w:pPr>
            <w:r>
              <w:rPr>
                <w:sz w:val="17"/>
              </w:rPr>
              <w:t>Paid Search: 4 600 vs 58 884 sesji YoY</w:t>
            </w:r>
          </w:p>
        </w:tc>
        <w:tc>
          <w:tcPr>
            <w:tcW w:type="dxa" w:w="2351"/>
          </w:tcPr>
          <w:p>
            <w:pPr>
              <w:spacing w:before="40" w:after="40"/>
            </w:pPr>
            <w:r>
              <w:rPr>
                <w:sz w:val="17"/>
              </w:rPr>
              <w:t>🔴</w:t>
            </w:r>
          </w:p>
        </w:tc>
      </w:tr>
      <w:tr>
        <w:tc>
          <w:tcPr>
            <w:tcW w:type="dxa" w:w="2351"/>
          </w:tcPr>
          <w:p>
            <w:pPr>
              <w:spacing w:before="40" w:after="40"/>
            </w:pPr>
            <w:r>
              <w:rPr>
                <w:sz w:val="17"/>
              </w:rPr>
              <w:t>Mobile CR -67% YoY</w:t>
            </w:r>
          </w:p>
        </w:tc>
        <w:tc>
          <w:tcPr>
            <w:tcW w:type="dxa" w:w="2351"/>
          </w:tcPr>
          <w:p>
            <w:pPr>
              <w:spacing w:before="40" w:after="40"/>
            </w:pPr>
            <w:r>
              <w:rPr>
                <w:sz w:val="17"/>
              </w:rPr>
              <w:t>~100 000–347 000 strata</w:t>
            </w:r>
          </w:p>
        </w:tc>
        <w:tc>
          <w:tcPr>
            <w:tcW w:type="dxa" w:w="2351"/>
          </w:tcPr>
          <w:p>
            <w:pPr>
              <w:spacing w:before="40" w:after="40"/>
            </w:pPr>
            <w:r>
              <w:rPr>
                <w:sz w:val="17"/>
              </w:rPr>
              <w:t>Mobile CR: 0.095% vs 0.288% YoY</w:t>
            </w:r>
          </w:p>
        </w:tc>
        <w:tc>
          <w:tcPr>
            <w:tcW w:type="dxa" w:w="2351"/>
          </w:tcPr>
          <w:p>
            <w:pPr>
              <w:spacing w:before="40" w:after="40"/>
            </w:pPr>
            <w:r>
              <w:rPr>
                <w:sz w:val="17"/>
              </w:rPr>
              <w:t>🔴</w:t>
            </w:r>
          </w:p>
        </w:tc>
      </w:tr>
      <w:tr>
        <w:tc>
          <w:tcPr>
            <w:tcW w:type="dxa" w:w="2351"/>
          </w:tcPr>
          <w:p>
            <w:pPr>
              <w:spacing w:before="40" w:after="40"/>
            </w:pPr>
            <w:r>
              <w:rPr>
                <w:sz w:val="17"/>
              </w:rPr>
              <w:t>PMax na fałszywych danych (-77% CR)</w:t>
            </w:r>
          </w:p>
        </w:tc>
        <w:tc>
          <w:tcPr>
            <w:tcW w:type="dxa" w:w="2351"/>
          </w:tcPr>
          <w:p>
            <w:pPr>
              <w:spacing w:before="40" w:after="40"/>
            </w:pPr>
            <w:r>
              <w:rPr>
                <w:sz w:val="17"/>
              </w:rPr>
              <w:t>~100 000–144 000 strata</w:t>
            </w:r>
          </w:p>
        </w:tc>
        <w:tc>
          <w:tcPr>
            <w:tcW w:type="dxa" w:w="2351"/>
          </w:tcPr>
          <w:p>
            <w:pPr>
              <w:spacing w:before="40" w:after="40"/>
            </w:pPr>
            <w:r>
              <w:rPr>
                <w:sz w:val="17"/>
              </w:rPr>
              <w:t>Cross-network CR: 0.051% vs 0.221%</w:t>
            </w:r>
          </w:p>
        </w:tc>
        <w:tc>
          <w:tcPr>
            <w:tcW w:type="dxa" w:w="2351"/>
          </w:tcPr>
          <w:p>
            <w:pPr>
              <w:spacing w:before="40" w:after="40"/>
            </w:pPr>
            <w:r>
              <w:rPr>
                <w:sz w:val="17"/>
              </w:rPr>
              <w:t>🔴</w:t>
            </w:r>
          </w:p>
        </w:tc>
      </w:tr>
      <w:tr>
        <w:tc>
          <w:tcPr>
            <w:tcW w:type="dxa" w:w="2351"/>
          </w:tcPr>
          <w:p>
            <w:pPr>
              <w:spacing w:before="40" w:after="40"/>
            </w:pPr>
            <w:r>
              <w:rPr>
                <w:sz w:val="17"/>
              </w:rPr>
              <w:t>Malformed transaction IDs (1 105)</w:t>
            </w:r>
          </w:p>
        </w:tc>
        <w:tc>
          <w:tcPr>
            <w:tcW w:type="dxa" w:w="2351"/>
          </w:tcPr>
          <w:p>
            <w:pPr>
              <w:spacing w:before="40" w:after="40"/>
            </w:pPr>
            <w:r>
              <w:rPr>
                <w:sz w:val="17"/>
              </w:rPr>
              <w:t>Niemierzalne przepalanie budżetu</w:t>
            </w:r>
          </w:p>
        </w:tc>
        <w:tc>
          <w:tcPr>
            <w:tcW w:type="dxa" w:w="2351"/>
          </w:tcPr>
          <w:p>
            <w:pPr>
              <w:spacing w:before="40" w:after="40"/>
            </w:pPr>
            <w:r>
              <w:rPr>
                <w:sz w:val="17"/>
              </w:rPr>
              <w:t>1 105 konkretnych błędnych IDs</w:t>
            </w:r>
          </w:p>
        </w:tc>
        <w:tc>
          <w:tcPr>
            <w:tcW w:type="dxa" w:w="2351"/>
          </w:tcPr>
          <w:p>
            <w:pPr>
              <w:spacing w:before="40" w:after="40"/>
            </w:pPr>
            <w:r>
              <w:rPr>
                <w:sz w:val="17"/>
              </w:rPr>
              <w:t>🔴</w:t>
            </w:r>
          </w:p>
        </w:tc>
      </w:tr>
      <w:tr>
        <w:tc>
          <w:tcPr>
            <w:tcW w:type="dxa" w:w="2351"/>
          </w:tcPr>
          <w:p>
            <w:pPr>
              <w:spacing w:before="40" w:after="40"/>
            </w:pPr>
            <w:r>
              <w:rPr>
                <w:sz w:val="17"/>
              </w:rPr>
              <w:t>Porzucenie koszyka 98.7%</w:t>
            </w:r>
          </w:p>
        </w:tc>
        <w:tc>
          <w:tcPr>
            <w:tcW w:type="dxa" w:w="2351"/>
          </w:tcPr>
          <w:p>
            <w:pPr>
              <w:spacing w:before="40" w:after="40"/>
            </w:pPr>
            <w:r>
              <w:rPr>
                <w:sz w:val="17"/>
              </w:rPr>
              <w:t>~100 000 potencjał</w:t>
            </w:r>
          </w:p>
        </w:tc>
        <w:tc>
          <w:tcPr>
            <w:tcW w:type="dxa" w:w="2351"/>
          </w:tcPr>
          <w:p>
            <w:pPr>
              <w:spacing w:before="40" w:after="40"/>
            </w:pPr>
            <w:r>
              <w:rPr>
                <w:sz w:val="17"/>
              </w:rPr>
              <w:t>32 653 add_to_cart vs 427 trans</w:t>
            </w:r>
          </w:p>
        </w:tc>
        <w:tc>
          <w:tcPr>
            <w:tcW w:type="dxa" w:w="2351"/>
          </w:tcPr>
          <w:p>
            <w:pPr>
              <w:spacing w:before="40" w:after="40"/>
            </w:pPr>
            <w:r>
              <w:rPr>
                <w:sz w:val="17"/>
              </w:rPr>
              <w:t>🟡</w:t>
            </w:r>
          </w:p>
        </w:tc>
      </w:tr>
      <w:tr>
        <w:tc>
          <w:tcPr>
            <w:tcW w:type="dxa" w:w="2351"/>
          </w:tcPr>
          <w:p>
            <w:pPr>
              <w:spacing w:before="40" w:after="40"/>
            </w:pPr>
            <w:r>
              <w:rPr>
                <w:sz w:val="17"/>
              </w:rPr>
              <w:t>Checkout drop-off 67%</w:t>
            </w:r>
          </w:p>
        </w:tc>
        <w:tc>
          <w:tcPr>
            <w:tcW w:type="dxa" w:w="2351"/>
          </w:tcPr>
          <w:p>
            <w:pPr>
              <w:spacing w:before="40" w:after="40"/>
            </w:pPr>
            <w:r>
              <w:rPr>
                <w:sz w:val="17"/>
              </w:rPr>
              <w:t>~80 000–120 000 potencjał</w:t>
            </w:r>
          </w:p>
        </w:tc>
        <w:tc>
          <w:tcPr>
            <w:tcW w:type="dxa" w:w="2351"/>
          </w:tcPr>
          <w:p>
            <w:pPr>
              <w:spacing w:before="40" w:after="40"/>
            </w:pPr>
            <w:r>
              <w:rPr>
                <w:sz w:val="17"/>
              </w:rPr>
              <w:t>begin_checkout vs trans</w:t>
            </w:r>
          </w:p>
        </w:tc>
        <w:tc>
          <w:tcPr>
            <w:tcW w:type="dxa" w:w="2351"/>
          </w:tcPr>
          <w:p>
            <w:pPr>
              <w:spacing w:before="40" w:after="40"/>
            </w:pPr>
            <w:r>
              <w:rPr>
                <w:sz w:val="17"/>
              </w:rPr>
              <w:t>🟡</w:t>
            </w:r>
          </w:p>
        </w:tc>
      </w:tr>
      <w:tr>
        <w:tc>
          <w:tcPr>
            <w:tcW w:type="dxa" w:w="2351"/>
          </w:tcPr>
          <w:p>
            <w:pPr>
              <w:spacing w:before="40" w:after="40"/>
            </w:pPr>
            <w:r>
              <w:rPr>
                <w:sz w:val="17"/>
              </w:rPr>
              <w:t>(not set) trans 7%</w:t>
            </w:r>
          </w:p>
        </w:tc>
        <w:tc>
          <w:tcPr>
            <w:tcW w:type="dxa" w:w="2351"/>
          </w:tcPr>
          <w:p>
            <w:pPr>
              <w:spacing w:before="40" w:after="40"/>
            </w:pPr>
            <w:r>
              <w:rPr>
                <w:sz w:val="17"/>
              </w:rPr>
              <w:t>~13 675 bez atrybuacji</w:t>
            </w:r>
          </w:p>
        </w:tc>
        <w:tc>
          <w:tcPr>
            <w:tcW w:type="dxa" w:w="2351"/>
          </w:tcPr>
          <w:p>
            <w:pPr>
              <w:spacing w:before="40" w:after="40"/>
            </w:pPr>
            <w:r>
              <w:rPr>
                <w:sz w:val="17"/>
              </w:rPr>
              <w:t>30 trans bez źródła</w:t>
            </w:r>
          </w:p>
        </w:tc>
        <w:tc>
          <w:tcPr>
            <w:tcW w:type="dxa" w:w="2351"/>
          </w:tcPr>
          <w:p>
            <w:pPr>
              <w:spacing w:before="40" w:after="40"/>
            </w:pPr>
            <w:r>
              <w:rPr>
                <w:sz w:val="17"/>
              </w:rPr>
              <w:t>🟡</w:t>
            </w:r>
          </w:p>
        </w:tc>
      </w:tr>
      <w:tr>
        <w:tc>
          <w:tcPr>
            <w:tcW w:type="dxa" w:w="2351"/>
          </w:tcPr>
          <w:p>
            <w:pPr>
              <w:spacing w:before="40" w:after="40"/>
            </w:pPr>
            <w:r>
              <w:rPr>
                <w:sz w:val="17"/>
              </w:rPr>
              <w:t>Bing organic niedoinwestowany</w:t>
            </w:r>
          </w:p>
        </w:tc>
        <w:tc>
          <w:tcPr>
            <w:tcW w:type="dxa" w:w="2351"/>
          </w:tcPr>
          <w:p>
            <w:pPr>
              <w:spacing w:before="40" w:after="40"/>
            </w:pPr>
            <w:r>
              <w:rPr>
                <w:sz w:val="17"/>
              </w:rPr>
              <w:t>~260 000 potencjał</w:t>
            </w:r>
          </w:p>
        </w:tc>
        <w:tc>
          <w:tcPr>
            <w:tcW w:type="dxa" w:w="2351"/>
          </w:tcPr>
          <w:p>
            <w:pPr>
              <w:spacing w:before="40" w:after="40"/>
            </w:pPr>
            <w:r>
              <w:rPr>
                <w:sz w:val="17"/>
              </w:rPr>
              <w:t>Rev/sess = 10.51 PLN</w:t>
            </w:r>
          </w:p>
        </w:tc>
        <w:tc>
          <w:tcPr>
            <w:tcW w:type="dxa" w:w="2351"/>
          </w:tcPr>
          <w:p>
            <w:pPr>
              <w:spacing w:before="40" w:after="40"/>
            </w:pPr>
            <w:r>
              <w:rPr>
                <w:sz w:val="17"/>
              </w:rPr>
              <w:t>🟢</w:t>
            </w:r>
          </w:p>
        </w:tc>
      </w:tr>
      <w:tr>
        <w:tc>
          <w:tcPr>
            <w:tcW w:type="dxa" w:w="2351"/>
          </w:tcPr>
          <w:p>
            <w:pPr>
              <w:spacing w:before="40" w:after="40"/>
            </w:pPr>
            <w:r>
              <w:rPr>
                <w:sz w:val="17"/>
              </w:rPr>
              <w:t>SMS 0 transakcji</w:t>
            </w:r>
          </w:p>
        </w:tc>
        <w:tc>
          <w:tcPr>
            <w:tcW w:type="dxa" w:w="2351"/>
          </w:tcPr>
          <w:p>
            <w:pPr>
              <w:spacing w:before="40" w:after="40"/>
            </w:pPr>
            <w:r>
              <w:rPr>
                <w:sz w:val="17"/>
              </w:rPr>
              <w:t>~10 000 potencjał</w:t>
            </w:r>
          </w:p>
        </w:tc>
        <w:tc>
          <w:tcPr>
            <w:tcW w:type="dxa" w:w="2351"/>
          </w:tcPr>
          <w:p>
            <w:pPr>
              <w:spacing w:before="40" w:after="40"/>
            </w:pPr>
            <w:r>
              <w:rPr>
                <w:sz w:val="17"/>
              </w:rPr>
              <w:t>1 708 sesji, 0 trans vs 8 w 2025</w:t>
            </w:r>
          </w:p>
        </w:tc>
        <w:tc>
          <w:tcPr>
            <w:tcW w:type="dxa" w:w="2351"/>
          </w:tcPr>
          <w:p>
            <w:pPr>
              <w:spacing w:before="40" w:after="40"/>
            </w:pPr>
            <w:r>
              <w:rPr>
                <w:sz w:val="17"/>
              </w:rPr>
              <w:t>🟢</w:t>
            </w:r>
          </w:p>
        </w:tc>
      </w:tr>
    </w:tbl>
    <w:p/>
    <w:p>
      <w:pPr>
        <w:spacing w:after="80"/>
      </w:pPr>
      <w:r>
        <w:rPr>
          <w:sz w:val="20"/>
        </w:rPr>
      </w:r>
      <w:r>
        <w:rPr>
          <w:b/>
          <w:sz w:val="20"/>
        </w:rPr>
        <w:t>Łączna skala problemu YoY: -1 326 787 PLN/msc</w:t>
      </w:r>
      <w:r>
        <w:rPr>
          <w:sz w:val="20"/>
        </w:rPr>
      </w:r>
    </w:p>
    <w:p>
      <w:pPr>
        <w:spacing w:after="80"/>
      </w:pPr>
    </w:p>
    <w:p>
      <w:pPr>
        <w:spacing w:before="200" w:after="80"/>
      </w:pPr>
      <w:r>
        <w:rPr>
          <w:b/>
          <w:color w:val="16213E"/>
          <w:sz w:val="26"/>
        </w:rPr>
        <w:t>CZĘŚĆ III — REKOMENDACJE</w:t>
      </w:r>
    </w:p>
    <w:p>
      <w:pPr>
        <w:spacing w:before="120" w:after="80"/>
      </w:pPr>
      <w:r>
        <w:rPr>
          <w:b/>
          <w:color w:val="0F3D66"/>
          <w:sz w:val="22"/>
        </w:rPr>
        <w:t>🔴 Natychmiast (0–7 dni) — Zatamowanie strat</w:t>
      </w:r>
    </w:p>
    <w:p>
      <w:pPr>
        <w:spacing w:after="80"/>
      </w:pPr>
      <w:r>
        <w:rPr>
          <w:sz w:val="20"/>
        </w:rPr>
      </w:r>
      <w:r>
        <w:rPr>
          <w:b/>
          <w:sz w:val="20"/>
        </w:rPr>
        <w:t>1. Naprawić malformed transaction_id w GTM</w:t>
      </w:r>
      <w:r>
        <w:rPr>
          <w:sz w:val="20"/>
        </w:rPr>
        <w:t>(2–4h dewelopera GTM)</w:t>
      </w:r>
    </w:p>
    <w:p>
      <w:pPr>
        <w:pStyle w:val="ListBullet"/>
        <w:spacing w:after="40"/>
        <w:ind w:left="283"/>
      </w:pPr>
      <w:r>
        <w:rPr>
          <w:sz w:val="20"/>
        </w:rPr>
        <w:t>Znaleźć zmienną GA4 odczytującą transaction_id z URL parametru</w:t>
      </w:r>
    </w:p>
    <w:p>
      <w:pPr>
        <w:pStyle w:val="ListBullet"/>
        <w:spacing w:after="40"/>
        <w:ind w:left="283"/>
      </w:pPr>
      <w:r>
        <w:rPr>
          <w:sz w:val="20"/>
        </w:rPr>
        <w:t>Zmienić na odczyt z DataLayer LUB użyć regex ^([^&amp;]+) na parametrze id</w:t>
      </w:r>
    </w:p>
    <w:p>
      <w:pPr>
        <w:pStyle w:val="ListBullet"/>
        <w:spacing w:after="40"/>
        <w:ind w:left="283"/>
      </w:pPr>
      <w:r>
        <w:rPr>
          <w:sz w:val="20"/>
        </w:rPr>
        <w:t>Efekt: ratio ePurchases:transactions spada do ~1.0, PMax dostaje prawidłowe sygnały</w:t>
      </w:r>
    </w:p>
    <w:p>
      <w:pPr>
        <w:pStyle w:val="ListBullet"/>
        <w:spacing w:after="40"/>
        <w:ind w:left="283"/>
      </w:pPr>
      <w:r>
        <w:rPr>
          <w:sz w:val="20"/>
        </w:rPr>
        <w:t>Weryfikacja: po wdrożeniu sprawdzić w GA4 DebugView czy malformed IDs zniknęły</w:t>
      </w:r>
    </w:p>
    <w:p>
      <w:pPr>
        <w:spacing w:after="80"/>
      </w:pPr>
      <w:r>
        <w:rPr>
          <w:sz w:val="20"/>
        </w:rPr>
      </w:r>
      <w:r>
        <w:rPr>
          <w:b/>
          <w:sz w:val="20"/>
        </w:rPr>
        <w:t>2. Wyłączyć wbudowany moduł Google Analytics w PrestaShop</w:t>
      </w:r>
      <w:r>
        <w:rPr>
          <w:sz w:val="20"/>
        </w:rPr>
        <w:t>(30 min)</w:t>
      </w:r>
    </w:p>
    <w:p>
      <w:pPr>
        <w:pStyle w:val="ListBullet"/>
        <w:spacing w:after="40"/>
        <w:ind w:left="283"/>
      </w:pPr>
      <w:r>
        <w:rPr>
          <w:sz w:val="20"/>
        </w:rPr>
        <w:t>PrestaShop Admin → Moduły → Google Analytics → wyłączyć lub odinstalować</w:t>
      </w:r>
    </w:p>
    <w:p>
      <w:pPr>
        <w:pStyle w:val="ListBullet"/>
        <w:spacing w:after="40"/>
        <w:ind w:left="283"/>
      </w:pPr>
      <w:r>
        <w:rPr>
          <w:sz w:val="20"/>
        </w:rPr>
        <w:t>Efekt: eliminacja 89 eventów purchase z (not set) i ewentualnych innych duplikatów</w:t>
      </w:r>
    </w:p>
    <w:p>
      <w:pPr>
        <w:pStyle w:val="ListBullet"/>
        <w:spacing w:after="40"/>
        <w:ind w:left="283"/>
      </w:pPr>
      <w:r>
        <w:rPr>
          <w:sz w:val="20"/>
        </w:rPr>
        <w:t>UWAGA: upewnić się, że GTM z tagiem GA4 jest aktywny PRZED wyłączeniem modułu</w:t>
      </w:r>
    </w:p>
    <w:p>
      <w:pPr>
        <w:spacing w:after="80"/>
      </w:pPr>
      <w:r>
        <w:rPr>
          <w:sz w:val="20"/>
        </w:rPr>
      </w:r>
      <w:r>
        <w:rPr>
          <w:b/>
          <w:sz w:val="20"/>
        </w:rPr>
        <w:t>3. Pilna analiza Google Ads — dlaczego Search wyłączone?</w:t>
      </w:r>
      <w:r>
        <w:rPr>
          <w:sz w:val="20"/>
        </w:rPr>
        <w:t>(1 dzień)</w:t>
      </w:r>
    </w:p>
    <w:p>
      <w:pPr>
        <w:pStyle w:val="ListBullet"/>
        <w:spacing w:after="40"/>
        <w:ind w:left="283"/>
      </w:pPr>
      <w:r>
        <w:rPr>
          <w:sz w:val="20"/>
        </w:rPr>
        <w:t>Sprawdzić w Google Ads: czy kampanie Search są aktywne, jaki budżet, kiedy ostatnio zmodyfikowane</w:t>
      </w:r>
    </w:p>
    <w:p>
      <w:pPr>
        <w:pStyle w:val="ListBullet"/>
        <w:spacing w:after="40"/>
        <w:ind w:left="283"/>
      </w:pPr>
      <w:r>
        <w:rPr>
          <w:sz w:val="20"/>
        </w:rPr>
        <w:t>Paid Search sesje: 4 600 vs 58 884 rok temu — 92% mniej sesji przy niezmienionej jakości CR</w:t>
      </w:r>
    </w:p>
    <w:p>
      <w:pPr>
        <w:pStyle w:val="ListBullet"/>
        <w:spacing w:after="40"/>
        <w:ind w:left="283"/>
      </w:pPr>
      <w:r>
        <w:rPr>
          <w:sz w:val="20"/>
        </w:rPr>
        <w:t>Szybki odzysk: reaktywacja Search lub zwiększenie budżetu</w:t>
      </w:r>
    </w:p>
    <w:p>
      <w:pPr>
        <w:spacing w:after="80"/>
      </w:pPr>
      <w:r>
        <w:rPr>
          <w:sz w:val="20"/>
        </w:rPr>
      </w:r>
      <w:r>
        <w:rPr>
          <w:b/>
          <w:sz w:val="20"/>
        </w:rPr>
        <w:t>4. Skonfigurować Referral exclusion</w:t>
      </w:r>
      <w:r>
        <w:rPr>
          <w:sz w:val="20"/>
        </w:rPr>
        <w:t>(30 min w GA4)</w:t>
      </w:r>
    </w:p>
    <w:p>
      <w:pPr>
        <w:pStyle w:val="ListBullet"/>
        <w:spacing w:after="40"/>
        <w:ind w:left="283"/>
      </w:pPr>
      <w:r>
        <w:rPr>
          <w:sz w:val="20"/>
        </w:rPr>
        <w:t>GA4 → Strumień → Referral exclusion → dodać: klarna.com, onet.pl, wp.pl, o2.pl, interia.pl</w:t>
      </w:r>
    </w:p>
    <w:p>
      <w:pPr>
        <w:pStyle w:val="ListBullet"/>
        <w:spacing w:after="40"/>
        <w:ind w:left="283"/>
      </w:pPr>
      <w:r>
        <w:rPr>
          <w:sz w:val="20"/>
        </w:rPr>
        <w:t>Efekt: prawidłowa atrybuacja 362 sesji webmaili + 55 sesji Klarna</w:t>
      </w:r>
    </w:p>
    <w:p>
      <w:pPr>
        <w:spacing w:after="80"/>
      </w:pPr>
    </w:p>
    <w:p>
      <w:pPr>
        <w:spacing w:before="120" w:after="80"/>
      </w:pPr>
      <w:r>
        <w:rPr>
          <w:b/>
          <w:color w:val="0F3D66"/>
          <w:sz w:val="22"/>
        </w:rPr>
        <w:t>🟡 Miesiąc 1 — Optymalizacja i naprawa</w:t>
      </w:r>
    </w:p>
    <w:p>
      <w:pPr>
        <w:spacing w:after="80"/>
      </w:pPr>
      <w:r>
        <w:rPr>
          <w:sz w:val="20"/>
        </w:rPr>
      </w:r>
      <w:r>
        <w:rPr>
          <w:b/>
          <w:sz w:val="20"/>
        </w:rPr>
        <w:t>5. Audyt UX mobile z narzędziem do nagrań</w:t>
      </w:r>
      <w:r>
        <w:rPr>
          <w:sz w:val="20"/>
        </w:rPr>
        <w:t>(2–3 tygodnie)</w:t>
      </w:r>
    </w:p>
    <w:p>
      <w:pPr>
        <w:pStyle w:val="ListBullet"/>
        <w:spacing w:after="40"/>
        <w:ind w:left="283"/>
      </w:pPr>
      <w:r>
        <w:rPr>
          <w:sz w:val="20"/>
        </w:rPr>
        <w:t>Wdrożyć Microsoft Clarity lub Hotjar na mobile</w:t>
      </w:r>
    </w:p>
    <w:p>
      <w:pPr>
        <w:pStyle w:val="ListBullet"/>
        <w:spacing w:after="40"/>
        <w:ind w:left="283"/>
      </w:pPr>
      <w:r>
        <w:rPr>
          <w:sz w:val="20"/>
        </w:rPr>
        <w:t>Sprawdzić Core Web Vitals na telefonach (PageSpeed Insights → Mobile)</w:t>
      </w:r>
    </w:p>
    <w:p>
      <w:pPr>
        <w:pStyle w:val="ListBullet"/>
        <w:spacing w:after="40"/>
        <w:ind w:left="283"/>
      </w:pPr>
      <w:r>
        <w:rPr>
          <w:sz w:val="20"/>
        </w:rPr>
        <w:t>Zbadać nagrania sesji mobile na stronie checkout</w:t>
      </w:r>
    </w:p>
    <w:p>
      <w:pPr>
        <w:pStyle w:val="ListBullet"/>
        <w:spacing w:after="40"/>
        <w:ind w:left="283"/>
      </w:pPr>
      <w:r>
        <w:rPr>
          <w:sz w:val="20"/>
        </w:rPr>
        <w:t>CR mobile 2026 vs 2025: -67% — coś konkretnego się zmieniło</w:t>
      </w:r>
    </w:p>
    <w:p>
      <w:pPr>
        <w:pStyle w:val="ListBullet"/>
        <w:spacing w:after="40"/>
        <w:ind w:left="283"/>
      </w:pPr>
      <w:r>
        <w:rPr>
          <w:sz w:val="20"/>
        </w:rPr>
        <w:t>Cel: zidentyfikować "punkt bólu" i naprawić w szablonie PrestaShop</w:t>
      </w:r>
    </w:p>
    <w:p>
      <w:pPr>
        <w:spacing w:after="80"/>
      </w:pPr>
      <w:r>
        <w:rPr>
          <w:sz w:val="20"/>
        </w:rPr>
      </w:r>
      <w:r>
        <w:rPr>
          <w:b/>
          <w:sz w:val="20"/>
        </w:rPr>
        <w:t>6. Wdrożyć abandoned cart emails w edrone</w:t>
      </w:r>
      <w:r>
        <w:rPr>
          <w:sz w:val="20"/>
        </w:rPr>
        <w:t>(1–2 tygodnie)</w:t>
      </w:r>
    </w:p>
    <w:p>
      <w:pPr>
        <w:pStyle w:val="ListBullet"/>
        <w:spacing w:after="40"/>
        <w:ind w:left="283"/>
      </w:pPr>
      <w:r>
        <w:rPr>
          <w:sz w:val="20"/>
        </w:rPr>
        <w:t>32 653 add_to_cart vs 427 zakupów = 98.7% porzuconych koszyków</w:t>
      </w:r>
    </w:p>
    <w:p>
      <w:pPr>
        <w:pStyle w:val="ListBullet"/>
        <w:spacing w:after="40"/>
        <w:ind w:left="283"/>
      </w:pPr>
      <w:r>
        <w:rPr>
          <w:sz w:val="20"/>
        </w:rPr>
        <w:t>edrone posiada moduł Abandoned Cart gotowy do aktywacji</w:t>
      </w:r>
    </w:p>
    <w:p>
      <w:pPr>
        <w:pStyle w:val="ListBullet"/>
        <w:spacing w:after="40"/>
        <w:ind w:left="283"/>
      </w:pPr>
      <w:r>
        <w:rPr>
          <w:sz w:val="20"/>
        </w:rPr>
        <w:t>Sekwencja: 1h (przypomnienie), 24h (+5% rabatu), 72h (ostatnia szansa)</w:t>
      </w:r>
    </w:p>
    <w:p>
      <w:pPr>
        <w:pStyle w:val="ListBullet"/>
        <w:spacing w:after="40"/>
        <w:ind w:left="283"/>
      </w:pPr>
      <w:r>
        <w:rPr>
          <w:sz w:val="20"/>
        </w:rPr>
        <w:t>Cel: odzysk 2–3% koszyków = +650–980 transakcji/rok = +~800 000–1 200 000 PLN/rok</w:t>
      </w:r>
    </w:p>
    <w:p>
      <w:pPr>
        <w:spacing w:after="80"/>
      </w:pPr>
      <w:r>
        <w:rPr>
          <w:sz w:val="20"/>
        </w:rPr>
      </w:r>
      <w:r>
        <w:rPr>
          <w:b/>
          <w:sz w:val="20"/>
        </w:rPr>
        <w:t>7. Zbadać i naprawić lejek checkout (drop-off 67%)</w:t>
      </w:r>
      <w:r>
        <w:rPr>
          <w:sz w:val="20"/>
        </w:rPr>
        <w:t>(2–4 tygodnie)</w:t>
      </w:r>
    </w:p>
    <w:p>
      <w:pPr>
        <w:pStyle w:val="ListBullet"/>
        <w:spacing w:after="40"/>
        <w:ind w:left="283"/>
      </w:pPr>
      <w:r>
        <w:rPr>
          <w:sz w:val="20"/>
        </w:rPr>
        <w:t>Sprawdzić w nagraniach Clarity: gdzie użytkownicy rezygnują</w:t>
      </w:r>
    </w:p>
    <w:p>
      <w:pPr>
        <w:pStyle w:val="ListBullet"/>
        <w:spacing w:after="40"/>
        <w:ind w:left="283"/>
      </w:pPr>
      <w:r>
        <w:rPr>
          <w:sz w:val="20"/>
        </w:rPr>
        <w:t>Prawdopodobne problemy: zbyt wiele kroków, brak Google Pay/Apple Pay, zaskakujące koszty dostawy</w:t>
      </w:r>
    </w:p>
    <w:p>
      <w:pPr>
        <w:pStyle w:val="ListBullet"/>
        <w:spacing w:after="40"/>
        <w:ind w:left="283"/>
      </w:pPr>
      <w:r>
        <w:rPr>
          <w:sz w:val="20"/>
        </w:rPr>
        <w:t>Cel: zmniejszenie drop-off z 67% do 50% = +233 trans/msc × 1 241 PLN = ~289 000 PLN/msc</w:t>
      </w:r>
    </w:p>
    <w:p>
      <w:pPr>
        <w:spacing w:after="80"/>
      </w:pPr>
      <w:r>
        <w:rPr>
          <w:sz w:val="20"/>
        </w:rPr>
      </w:r>
      <w:r>
        <w:rPr>
          <w:b/>
          <w:sz w:val="20"/>
        </w:rPr>
        <w:t>8. Naprawić sekwencję eventów lejka (add_shipping_info &gt; begin_checkout)</w:t>
      </w:r>
      <w:r>
        <w:rPr>
          <w:sz w:val="20"/>
        </w:rPr>
        <w:t>(1–2h GTM)</w:t>
      </w:r>
    </w:p>
    <w:p>
      <w:pPr>
        <w:pStyle w:val="ListBullet"/>
        <w:spacing w:after="40"/>
        <w:ind w:left="283"/>
      </w:pPr>
      <w:r>
        <w:rPr>
          <w:sz w:val="20"/>
        </w:rPr>
        <w:t>Sprawdzić triggery dla add_shipping_info i begin_checkout w GTM</w:t>
      </w:r>
    </w:p>
    <w:p>
      <w:pPr>
        <w:pStyle w:val="ListBullet"/>
        <w:spacing w:after="40"/>
        <w:ind w:left="283"/>
      </w:pPr>
      <w:r>
        <w:rPr>
          <w:sz w:val="20"/>
        </w:rPr>
        <w:t>Prawdopodobnie add_shipping_info triggeruje za wcześnie w procesie PrestaShop</w:t>
      </w:r>
    </w:p>
    <w:p>
      <w:pPr>
        <w:pStyle w:val="ListBullet"/>
        <w:spacing w:after="40"/>
        <w:ind w:left="283"/>
      </w:pPr>
      <w:r>
        <w:rPr>
          <w:sz w:val="20"/>
        </w:rPr>
        <w:t>Efekt: poprawne dane lejka, możliwa analiza per etap</w:t>
      </w:r>
    </w:p>
    <w:p>
      <w:pPr>
        <w:spacing w:after="80"/>
      </w:pPr>
      <w:r>
        <w:rPr>
          <w:sz w:val="20"/>
        </w:rPr>
      </w:r>
      <w:r>
        <w:rPr>
          <w:b/>
          <w:sz w:val="20"/>
        </w:rPr>
        <w:t>9. Wdrożyć url_passthrough w GTM</w:t>
      </w:r>
      <w:r>
        <w:rPr>
          <w:sz w:val="20"/>
        </w:rPr>
        <w:t>(15 min)</w:t>
      </w:r>
    </w:p>
    <w:p>
      <w:pPr>
        <w:pStyle w:val="ListBullet"/>
        <w:spacing w:after="40"/>
        <w:ind w:left="283"/>
      </w:pPr>
      <w:r>
        <w:rPr>
          <w:sz w:val="20"/>
        </w:rPr>
        <w:t>GTM → Tag GA4 Configuration → Pola → dodać url_passthrough: true</w:t>
      </w:r>
    </w:p>
    <w:p>
      <w:pPr>
        <w:pStyle w:val="ListBullet"/>
        <w:spacing w:after="40"/>
        <w:ind w:left="283"/>
      </w:pPr>
      <w:r>
        <w:rPr>
          <w:sz w:val="20"/>
        </w:rPr>
        <w:t>Efekt: ~30 trans/msc odzyska atrybuację = ~37 000 PLN/msc widoczne</w:t>
      </w:r>
    </w:p>
    <w:p>
      <w:pPr>
        <w:spacing w:after="80"/>
      </w:pPr>
      <w:r>
        <w:rPr>
          <w:sz w:val="20"/>
        </w:rPr>
      </w:r>
      <w:r>
        <w:rPr>
          <w:b/>
          <w:sz w:val="20"/>
        </w:rPr>
        <w:t>10. Filtrowanie ruchu deweloperskiego</w:t>
      </w:r>
      <w:r>
        <w:rPr>
          <w:sz w:val="20"/>
        </w:rPr>
        <w:t>(15 min w GA4)</w:t>
      </w:r>
    </w:p>
    <w:p>
      <w:pPr>
        <w:pStyle w:val="ListBullet"/>
        <w:spacing w:after="40"/>
        <w:ind w:left="283"/>
      </w:pPr>
      <w:r>
        <w:rPr>
          <w:sz w:val="20"/>
        </w:rPr>
        <w:t>GA4 → Admin → Filtry danych → wykluczyć hostname zawierający arytondev i aryton81</w:t>
      </w:r>
    </w:p>
    <w:p>
      <w:pPr>
        <w:spacing w:after="80"/>
      </w:pPr>
    </w:p>
    <w:p>
      <w:pPr>
        <w:spacing w:before="120" w:after="80"/>
      </w:pPr>
      <w:r>
        <w:rPr>
          <w:b/>
          <w:color w:val="0F3D66"/>
          <w:sz w:val="22"/>
        </w:rPr>
        <w:t>🟢 Miesiąc 2–3 — Skalowanie i strategia</w:t>
      </w:r>
    </w:p>
    <w:p>
      <w:pPr>
        <w:spacing w:after="80"/>
      </w:pPr>
      <w:r>
        <w:rPr>
          <w:sz w:val="20"/>
        </w:rPr>
      </w:r>
      <w:r>
        <w:rPr>
          <w:b/>
          <w:sz w:val="20"/>
        </w:rPr>
        <w:t>11. Wdrożyć kampanie Microsoft Bing Ads</w:t>
      </w:r>
      <w:r>
        <w:rPr>
          <w:sz w:val="20"/>
        </w:rPr>
        <w:t>(2–3 tygodnie setup)</w:t>
      </w:r>
    </w:p>
    <w:p>
      <w:pPr>
        <w:pStyle w:val="ListBullet"/>
        <w:spacing w:after="40"/>
        <w:ind w:left="283"/>
      </w:pPr>
      <w:r>
        <w:rPr>
          <w:sz w:val="20"/>
        </w:rPr>
        <w:t>Bing organic: 2 859 sesji, 26 transakcji, 30 063 PLN = Rev/sesja =</w:t>
      </w:r>
      <w:r>
        <w:rPr>
          <w:b/>
          <w:sz w:val="20"/>
        </w:rPr>
        <w:t>10.51 PLN</w:t>
      </w:r>
      <w:r>
        <w:rPr>
          <w:sz w:val="20"/>
        </w:rPr>
        <w:t>(najwyższy na koncie!)</w:t>
      </w:r>
    </w:p>
    <w:p>
      <w:pPr>
        <w:pStyle w:val="ListBullet"/>
        <w:spacing w:after="40"/>
        <w:ind w:left="283"/>
      </w:pPr>
      <w:r>
        <w:rPr>
          <w:sz w:val="20"/>
        </w:rPr>
        <w:t>Ten sam feed produktowy co Google Ads</w:t>
      </w:r>
    </w:p>
    <w:p>
      <w:pPr>
        <w:pStyle w:val="ListBullet"/>
        <w:spacing w:after="40"/>
        <w:ind w:left="283"/>
      </w:pPr>
      <w:r>
        <w:rPr>
          <w:sz w:val="20"/>
        </w:rPr>
        <w:t>Przy 10× wolumenie sesji: 26 000 sesji × 26/2859 CR = ~236 trans/msc × 1 241 PLN =</w:t>
      </w:r>
      <w:r>
        <w:rPr>
          <w:b/>
          <w:sz w:val="20"/>
        </w:rPr>
        <w:t>~293 000 PLN/msc</w:t>
      </w:r>
      <w:r>
        <w:rPr>
          <w:sz w:val="20"/>
        </w:rPr>
      </w:r>
    </w:p>
    <w:p>
      <w:pPr>
        <w:spacing w:after="80"/>
      </w:pPr>
      <w:r>
        <w:rPr>
          <w:sz w:val="20"/>
        </w:rPr>
      </w:r>
      <w:r>
        <w:rPr>
          <w:b/>
          <w:sz w:val="20"/>
        </w:rPr>
        <w:t>12. Analiza BCG po naprawieniu trackingu</w:t>
      </w:r>
      <w:r>
        <w:rPr>
          <w:sz w:val="20"/>
        </w:rPr>
        <w:t>(po 30 dniach czystych danych)</w:t>
      </w:r>
    </w:p>
    <w:p>
      <w:pPr>
        <w:pStyle w:val="ListBullet"/>
        <w:spacing w:after="40"/>
        <w:ind w:left="283"/>
      </w:pPr>
      <w:r>
        <w:rPr>
          <w:sz w:val="20"/>
        </w:rPr>
        <w:t>Dane produktowe dostępne w GA4 (100 produktów z przychodem)</w:t>
      </w:r>
    </w:p>
    <w:p>
      <w:pPr>
        <w:pStyle w:val="ListBullet"/>
        <w:spacing w:after="40"/>
        <w:ind w:left="283"/>
      </w:pPr>
      <w:r>
        <w:rPr>
          <w:sz w:val="20"/>
        </w:rPr>
        <w:t>Po naprawieniu malformed IDs — PMax dostanie czyste dane</w:t>
      </w:r>
    </w:p>
    <w:p>
      <w:pPr>
        <w:pStyle w:val="ListBullet"/>
        <w:spacing w:after="40"/>
        <w:ind w:left="283"/>
      </w:pPr>
      <w:r>
        <w:rPr>
          <w:sz w:val="20"/>
        </w:rPr>
        <w:t>Przebudować strukturę asset groups per kategoria BCG (Gwiazdy/Psy/Dojne Krowy)</w:t>
      </w:r>
    </w:p>
    <w:p>
      <w:pPr>
        <w:spacing w:after="80"/>
      </w:pPr>
      <w:r>
        <w:rPr>
          <w:sz w:val="20"/>
        </w:rPr>
      </w:r>
      <w:r>
        <w:rPr>
          <w:b/>
          <w:sz w:val="20"/>
        </w:rPr>
        <w:t>13. Zbadać przyczyny spadku ruchu Direct (-46%) i Email (-42%)</w:t>
      </w:r>
      <w:r>
        <w:rPr>
          <w:sz w:val="20"/>
        </w:rPr>
      </w:r>
    </w:p>
    <w:p>
      <w:pPr>
        <w:pStyle w:val="ListBullet"/>
        <w:spacing w:after="40"/>
        <w:ind w:left="283"/>
      </w:pPr>
      <w:r>
        <w:rPr>
          <w:sz w:val="20"/>
        </w:rPr>
        <w:t>Ruch bezpośredni -46% może wskazywać na mniejszą lojalność klientów</w:t>
      </w:r>
    </w:p>
    <w:p>
      <w:pPr>
        <w:pStyle w:val="ListBullet"/>
        <w:spacing w:after="40"/>
        <w:ind w:left="283"/>
      </w:pPr>
      <w:r>
        <w:rPr>
          <w:sz w:val="20"/>
        </w:rPr>
        <w:t>Email CR -60% → potrzeba resegmentacji bazy lub nowej strategii mailingów</w:t>
      </w:r>
    </w:p>
    <w:p>
      <w:pPr>
        <w:pStyle w:val="ListBullet"/>
        <w:spacing w:after="40"/>
        <w:ind w:left="283"/>
      </w:pPr>
      <w:r>
        <w:rPr>
          <w:sz w:val="20"/>
        </w:rPr>
        <w:t>Zbadać open rates i click rates w edrone</w:t>
      </w:r>
    </w:p>
    <w:p>
      <w:pPr>
        <w:spacing w:after="80"/>
      </w:pPr>
      <w:r>
        <w:rPr>
          <w:sz w:val="20"/>
        </w:rPr>
      </w:r>
      <w:r>
        <w:rPr>
          <w:b/>
          <w:sz w:val="20"/>
        </w:rPr>
        <w:t>14. Wdrożyć alerty w GA4</w:t>
      </w:r>
      <w:r>
        <w:rPr>
          <w:sz w:val="20"/>
        </w:rPr>
        <w:t>(30 min)</w:t>
      </w:r>
    </w:p>
    <w:p>
      <w:pPr>
        <w:pStyle w:val="ListBullet"/>
        <w:spacing w:after="40"/>
        <w:ind w:left="283"/>
      </w:pPr>
      <w:r>
        <w:rPr>
          <w:sz w:val="20"/>
        </w:rPr>
        <w:t>GA4 → Insights → Alerty → dodać dla: transakcje &lt; 5/dzień, przychód &lt; 5 000 PLN/dzień</w:t>
      </w:r>
    </w:p>
    <w:p>
      <w:pPr>
        <w:pStyle w:val="ListBullet"/>
        <w:spacing w:after="40"/>
        <w:ind w:left="283"/>
      </w:pPr>
      <w:r>
        <w:rPr>
          <w:sz w:val="20"/>
        </w:rPr>
        <w:t>Efekt: wcześniejsze wykrycie awarii (jak 04.04 z 0 transakcjami)</w:t>
      </w:r>
    </w:p>
    <w:p>
      <w:pPr>
        <w:spacing w:after="80"/>
      </w:pPr>
    </w:p>
    <w:p>
      <w:pPr>
        <w:spacing w:before="200" w:after="80"/>
      </w:pPr>
      <w:r>
        <w:rPr>
          <w:b/>
          <w:color w:val="16213E"/>
          <w:sz w:val="26"/>
        </w:rPr>
        <w:t>Podsumowanie</w:t>
      </w:r>
    </w:p>
    <w:p>
      <w:pPr>
        <w:spacing w:after="80"/>
      </w:pPr>
      <w:r>
        <w:rPr>
          <w:sz w:val="20"/>
        </w:rPr>
        <w:t>Patrizia by Aryton to marka premium z realną sprzedażą i wysokim AOV (1 241 PLN). Dane wskazują, że rok temu sklep działał znacznie lepiej — 1 495 zamówień miesięcznie vs 427 teraz, przy identycznym AOV.</w:t>
      </w:r>
    </w:p>
    <w:p>
      <w:pPr>
        <w:spacing w:after="80"/>
      </w:pPr>
      <w:r>
        <w:rPr>
          <w:sz w:val="20"/>
        </w:rPr>
        <w:t>Analiza YoY wskazuje na</w:t>
      </w:r>
      <w:r>
        <w:rPr>
          <w:b/>
          <w:sz w:val="20"/>
        </w:rPr>
        <w:t>trzy główne przyczyny</w:t>
      </w:r>
      <w:r>
        <w:rPr>
          <w:sz w:val="20"/>
        </w:rPr>
        <w:t>71% spadku:</w:t>
      </w:r>
    </w:p>
    <w:p>
      <w:pPr>
        <w:pStyle w:val="ListNumber"/>
        <w:spacing w:after="40"/>
        <w:ind w:left="283"/>
      </w:pPr>
      <w:r>
        <w:rPr>
          <w:sz w:val="20"/>
        </w:rPr>
      </w:r>
      <w:r>
        <w:rPr>
          <w:b/>
          <w:sz w:val="20"/>
        </w:rPr>
        <w:t>Wyłączone kampanie Google Search</w:t>
      </w:r>
      <w:r>
        <w:rPr>
          <w:sz w:val="20"/>
        </w:rPr>
        <w:t>— brak budżetu = brak ruchu = brak sprzedaży (~200k PLN/msc strata)</w:t>
      </w:r>
    </w:p>
    <w:p>
      <w:pPr>
        <w:pStyle w:val="ListNumber"/>
        <w:spacing w:after="40"/>
        <w:ind w:left="283"/>
      </w:pPr>
      <w:r>
        <w:rPr>
          <w:sz w:val="20"/>
        </w:rPr>
      </w:r>
      <w:r>
        <w:rPr>
          <w:b/>
          <w:sz w:val="20"/>
        </w:rPr>
        <w:t>PMax optymalizuje na fałszywe dane</w:t>
      </w:r>
      <w:r>
        <w:rPr>
          <w:sz w:val="20"/>
        </w:rPr>
        <w:t>— malformed transaction IDs sprawiają że algorytm kupuje złe kliknięcia</w:t>
      </w:r>
    </w:p>
    <w:p>
      <w:pPr>
        <w:pStyle w:val="ListNumber"/>
        <w:spacing w:after="40"/>
        <w:ind w:left="283"/>
      </w:pPr>
      <w:r>
        <w:rPr>
          <w:sz w:val="20"/>
        </w:rPr>
      </w:r>
      <w:r>
        <w:rPr>
          <w:b/>
          <w:sz w:val="20"/>
        </w:rPr>
        <w:t>Degradacja CR mobile</w:t>
      </w:r>
      <w:r>
        <w:rPr>
          <w:sz w:val="20"/>
        </w:rPr>
        <w:t>— z 0.288% do 0.095% YoY, coś konkretnego zmieniło się w doświadczeniu mobilnym</w:t>
      </w:r>
    </w:p>
    <w:p>
      <w:pPr>
        <w:spacing w:after="80"/>
      </w:pPr>
      <w:r>
        <w:rPr>
          <w:sz w:val="20"/>
        </w:rPr>
        <w:t>Naprawienie malformed IDs i reaktywacja Search to działania możliwe w ciągu 1 tygodnia i bezpośrednio adresujące dwie pierwsze przyczyny. Audyt UX mobile i przebudowa strategii kampanii to praca kilkutygodniowa ale z potencjałem odzysku setek tysięcy złotych miesięcznie.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