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Audyt MarTech — Patrizia by Aryton</w:t>
      </w:r>
    </w:p>
    <w:p>
      <w:pPr>
        <w:jc w:val="center"/>
      </w:pPr>
      <w:r>
        <w:rPr>
          <w:color w:val="555555"/>
          <w:sz w:val="24"/>
        </w:rPr>
        <w:t>Raport Szczegolowy | Kwiecien 2026</w:t>
      </w:r>
    </w:p>
    <w:p/>
    <w:p>
      <w:pPr>
        <w:spacing w:before="200" w:after="80"/>
      </w:pPr>
      <w:r>
        <w:rPr>
          <w:b/>
          <w:color w:val="1A1A2E"/>
          <w:sz w:val="32"/>
        </w:rPr>
        <w:t>Raport Audytu MarTech — Patrizia by Aryton</w:t>
      </w:r>
    </w:p>
    <w:p>
      <w:pPr>
        <w:spacing w:after="80"/>
      </w:pPr>
      <w:r>
        <w:rPr>
          <w:sz w:val="20"/>
        </w:rPr>
      </w:r>
      <w:r>
        <w:rPr>
          <w:b/>
          <w:sz w:val="20"/>
        </w:rPr>
        <w:t>Data:</w:t>
      </w:r>
      <w:r>
        <w:rPr>
          <w:sz w:val="20"/>
        </w:rPr>
        <w:t>2026-04-07</w:t>
      </w:r>
    </w:p>
    <w:p>
      <w:pPr>
        <w:spacing w:after="80"/>
      </w:pPr>
      <w:r>
        <w:rPr>
          <w:sz w:val="20"/>
        </w:rPr>
      </w:r>
      <w:r>
        <w:rPr>
          <w:b/>
          <w:sz w:val="20"/>
        </w:rPr>
        <w:t>Audytor:</w:t>
      </w:r>
      <w:r>
        <w:rPr>
          <w:sz w:val="20"/>
        </w:rPr>
        <w:t>Adrian Andrzejczyk</w:t>
      </w:r>
    </w:p>
    <w:p>
      <w:pPr>
        <w:spacing w:after="80"/>
      </w:pPr>
      <w:r>
        <w:rPr>
          <w:sz w:val="20"/>
        </w:rPr>
      </w:r>
      <w:r>
        <w:rPr>
          <w:b/>
          <w:sz w:val="20"/>
        </w:rPr>
        <w:t>GA4 Property:</w:t>
      </w:r>
      <w:r>
        <w:rPr>
          <w:sz w:val="20"/>
        </w:rPr>
        <w:t>patrizia.aryton.pl — GA4 (ID: 326801658)</w:t>
      </w:r>
    </w:p>
    <w:p>
      <w:pPr>
        <w:spacing w:after="80"/>
      </w:pPr>
      <w:r>
        <w:rPr>
          <w:sz w:val="20"/>
        </w:rPr>
      </w:r>
      <w:r>
        <w:rPr>
          <w:b/>
          <w:sz w:val="20"/>
        </w:rPr>
        <w:t>Measurement ID:</w:t>
      </w:r>
      <w:r>
        <w:rPr>
          <w:sz w:val="20"/>
        </w:rPr>
        <w:t>G-93NK3C48R3</w:t>
      </w:r>
    </w:p>
    <w:p>
      <w:pPr>
        <w:spacing w:after="80"/>
      </w:pPr>
      <w:r>
        <w:rPr>
          <w:sz w:val="20"/>
        </w:rPr>
      </w:r>
      <w:r>
        <w:rPr>
          <w:b/>
          <w:sz w:val="20"/>
        </w:rPr>
        <w:t>GTM Container:</w:t>
      </w:r>
      <w:r>
        <w:rPr>
          <w:sz w:val="20"/>
        </w:rPr>
        <w:t>GTM-MDGSP8</w:t>
      </w:r>
    </w:p>
    <w:p>
      <w:pPr>
        <w:spacing w:after="80"/>
      </w:pPr>
      <w:r>
        <w:rPr>
          <w:sz w:val="20"/>
        </w:rPr>
      </w:r>
      <w:r>
        <w:rPr>
          <w:b/>
          <w:sz w:val="20"/>
        </w:rPr>
        <w:t>Google Ads:</w:t>
      </w:r>
      <w:r>
        <w:rPr>
          <w:sz w:val="20"/>
        </w:rPr>
        <w:t>196-867-6668</w:t>
      </w:r>
    </w:p>
    <w:p>
      <w:pPr>
        <w:spacing w:after="80"/>
      </w:pPr>
      <w:r>
        <w:rPr>
          <w:sz w:val="20"/>
        </w:rPr>
      </w:r>
      <w:r>
        <w:rPr>
          <w:b/>
          <w:sz w:val="20"/>
        </w:rPr>
        <w:t>BigQuery:</w:t>
      </w:r>
      <w:r>
        <w:rPr>
          <w:sz w:val="20"/>
        </w:rPr>
        <w:t>dane-z-ga4-aryton-pl</w:t>
      </w:r>
    </w:p>
    <w:p>
      <w:pPr>
        <w:spacing w:after="80"/>
      </w:pPr>
      <w:r>
        <w:rPr>
          <w:sz w:val="20"/>
        </w:rPr>
      </w:r>
      <w:r>
        <w:rPr>
          <w:b/>
          <w:sz w:val="20"/>
        </w:rPr>
        <w:t>URL strony:</w:t>
      </w:r>
      <w:r>
        <w:rPr>
          <w:sz w:val="20"/>
        </w:rPr>
        <w:t>https://patrizia.aryton.pl/</w:t>
      </w:r>
    </w:p>
    <w:p>
      <w:pPr>
        <w:spacing w:after="80"/>
      </w:pPr>
      <w:r>
        <w:rPr>
          <w:sz w:val="20"/>
        </w:rPr>
      </w:r>
      <w:r>
        <w:rPr>
          <w:b/>
          <w:sz w:val="20"/>
        </w:rPr>
        <w:t>Typ biznesu:</w:t>
      </w:r>
      <w:r>
        <w:rPr>
          <w:sz w:val="20"/>
        </w:rPr>
        <w:t>E-commerce (odzież premium — marka Patrizia)</w:t>
      </w:r>
    </w:p>
    <w:p>
      <w:pPr>
        <w:spacing w:after="80"/>
      </w:pPr>
      <w:r>
        <w:rPr>
          <w:sz w:val="20"/>
        </w:rPr>
      </w:r>
      <w:r>
        <w:rPr>
          <w:b/>
          <w:sz w:val="20"/>
        </w:rPr>
        <w:t>Platforma:</w:t>
      </w:r>
      <w:r>
        <w:rPr>
          <w:sz w:val="20"/>
        </w:rPr>
        <w:t>Shoper | CMP: Cookiebot</w:t>
      </w:r>
    </w:p>
    <w:p>
      <w:pPr>
        <w:spacing w:after="80"/>
      </w:pPr>
      <w:r>
        <w:rPr>
          <w:sz w:val="20"/>
        </w:rPr>
      </w:r>
      <w:r>
        <w:rPr>
          <w:b/>
          <w:sz w:val="20"/>
        </w:rPr>
        <w:t>Okres danych:</w:t>
      </w:r>
      <w:r>
        <w:rPr>
          <w:sz w:val="20"/>
        </w:rPr>
        <w:t>8 marca – 7 kwietnia 2026 (30 dni)</w:t>
      </w:r>
    </w:p>
    <w:p>
      <w:pPr>
        <w:spacing w:after="80"/>
      </w:pPr>
    </w:p>
    <w:p>
      <w:pPr>
        <w:spacing w:before="200" w:after="80"/>
      </w:pPr>
      <w:r>
        <w:rPr>
          <w:b/>
          <w:color w:val="16213E"/>
          <w:sz w:val="26"/>
        </w:rPr>
        <w:t>CZĘŚĆ I — PODSUMOWANIE WYKONAWCZE</w:t>
      </w:r>
    </w:p>
    <w:p>
      <w:pPr>
        <w:spacing w:before="120" w:after="80"/>
      </w:pPr>
      <w:r>
        <w:rPr>
          <w:b/>
          <w:color w:val="0F3D66"/>
          <w:sz w:val="22"/>
        </w:rPr>
        <w:t>Wyniki sekcji</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1a2e"/>
          </w:tcPr>
          <w:p>
            <w:pPr>
              <w:spacing w:before="40" w:after="40"/>
            </w:pPr>
            <w:r>
              <w:rPr>
                <w:b/>
                <w:color w:val="FFFFFF"/>
                <w:sz w:val="17"/>
              </w:rPr>
              <w:t>Sekcja</w:t>
            </w:r>
          </w:p>
        </w:tc>
        <w:tc>
          <w:tcPr>
            <w:tcW w:type="dxa" w:w="1881"/>
            <w:shd w:val="clear" w:color="auto" w:fill="1a1a2e"/>
          </w:tcPr>
          <w:p>
            <w:pPr>
              <w:spacing w:before="40" w:after="40"/>
            </w:pPr>
            <w:r>
              <w:rPr>
                <w:b/>
                <w:color w:val="FFFFFF"/>
                <w:sz w:val="17"/>
              </w:rPr>
              <w:t>Uzyskane pkt</w:t>
            </w:r>
          </w:p>
        </w:tc>
        <w:tc>
          <w:tcPr>
            <w:tcW w:type="dxa" w:w="1881"/>
            <w:shd w:val="clear" w:color="auto" w:fill="1a1a2e"/>
          </w:tcPr>
          <w:p>
            <w:pPr>
              <w:spacing w:before="40" w:after="40"/>
            </w:pPr>
            <w:r>
              <w:rPr>
                <w:b/>
                <w:color w:val="FFFFFF"/>
                <w:sz w:val="17"/>
              </w:rPr>
              <w:t>Max pkt</w:t>
            </w:r>
          </w:p>
        </w:tc>
        <w:tc>
          <w:tcPr>
            <w:tcW w:type="dxa" w:w="1881"/>
            <w:shd w:val="clear" w:color="auto" w:fill="1a1a2e"/>
          </w:tcPr>
          <w:p>
            <w:pPr>
              <w:spacing w:before="40" w:after="40"/>
            </w:pPr>
            <w:r>
              <w:rPr>
                <w:b/>
                <w:color w:val="FFFFFF"/>
                <w:sz w:val="17"/>
              </w:rPr>
              <w:t>Wynik %</w:t>
            </w:r>
          </w:p>
        </w:tc>
        <w:tc>
          <w:tcPr>
            <w:tcW w:type="dxa" w:w="1881"/>
            <w:shd w:val="clear" w:color="auto" w:fill="1a1a2e"/>
          </w:tcPr>
          <w:p>
            <w:pPr>
              <w:spacing w:before="40" w:after="40"/>
            </w:pPr>
            <w:r>
              <w:rPr>
                <w:b/>
                <w:color w:val="FFFFFF"/>
                <w:sz w:val="17"/>
              </w:rPr>
              <w:t>Ocena</w:t>
            </w:r>
          </w:p>
        </w:tc>
      </w:tr>
      <w:tr>
        <w:tc>
          <w:tcPr>
            <w:tcW w:type="dxa" w:w="1881"/>
          </w:tcPr>
          <w:p>
            <w:pPr>
              <w:spacing w:before="40" w:after="40"/>
            </w:pPr>
            <w:r>
              <w:rPr>
                <w:sz w:val="17"/>
              </w:rPr>
              <w:t>1. Audyt Wstępny</w:t>
            </w:r>
          </w:p>
        </w:tc>
        <w:tc>
          <w:tcPr>
            <w:tcW w:type="dxa" w:w="1881"/>
          </w:tcPr>
          <w:p>
            <w:pPr>
              <w:spacing w:before="40" w:after="40"/>
            </w:pPr>
            <w:r>
              <w:rPr>
                <w:sz w:val="17"/>
              </w:rPr>
              <w:t>5</w:t>
            </w:r>
          </w:p>
        </w:tc>
        <w:tc>
          <w:tcPr>
            <w:tcW w:type="dxa" w:w="1881"/>
          </w:tcPr>
          <w:p>
            <w:pPr>
              <w:spacing w:before="40" w:after="40"/>
            </w:pPr>
            <w:r>
              <w:rPr>
                <w:sz w:val="17"/>
              </w:rPr>
              <w:t>36</w:t>
            </w:r>
          </w:p>
        </w:tc>
        <w:tc>
          <w:tcPr>
            <w:tcW w:type="dxa" w:w="1881"/>
          </w:tcPr>
          <w:p>
            <w:pPr>
              <w:spacing w:before="40" w:after="40"/>
            </w:pPr>
            <w:r>
              <w:rPr>
                <w:sz w:val="17"/>
              </w:rPr>
              <w:t>14%</w:t>
            </w:r>
          </w:p>
        </w:tc>
        <w:tc>
          <w:tcPr>
            <w:tcW w:type="dxa" w:w="1881"/>
          </w:tcPr>
          <w:p>
            <w:pPr>
              <w:spacing w:before="40" w:after="40"/>
            </w:pPr>
            <w:r>
              <w:rPr>
                <w:sz w:val="17"/>
              </w:rPr>
              <w:t>❌ Krytyczny</w:t>
            </w:r>
          </w:p>
        </w:tc>
      </w:tr>
      <w:tr>
        <w:tc>
          <w:tcPr>
            <w:tcW w:type="dxa" w:w="1881"/>
          </w:tcPr>
          <w:p>
            <w:pPr>
              <w:spacing w:before="40" w:after="40"/>
            </w:pPr>
            <w:r>
              <w:rPr>
                <w:sz w:val="17"/>
              </w:rPr>
              <w:t>2. ePrivacy / Consent Mode</w:t>
            </w:r>
          </w:p>
        </w:tc>
        <w:tc>
          <w:tcPr>
            <w:tcW w:type="dxa" w:w="1881"/>
          </w:tcPr>
          <w:p>
            <w:pPr>
              <w:spacing w:before="40" w:after="40"/>
            </w:pPr>
            <w:r>
              <w:rPr>
                <w:sz w:val="17"/>
              </w:rPr>
              <w:t>0</w:t>
            </w:r>
          </w:p>
        </w:tc>
        <w:tc>
          <w:tcPr>
            <w:tcW w:type="dxa" w:w="1881"/>
          </w:tcPr>
          <w:p>
            <w:pPr>
              <w:spacing w:before="40" w:after="40"/>
            </w:pPr>
            <w:r>
              <w:rPr>
                <w:sz w:val="17"/>
              </w:rPr>
              <w:t>45</w:t>
            </w:r>
          </w:p>
        </w:tc>
        <w:tc>
          <w:tcPr>
            <w:tcW w:type="dxa" w:w="1881"/>
          </w:tcPr>
          <w:p>
            <w:pPr>
              <w:spacing w:before="40" w:after="40"/>
            </w:pPr>
            <w:r>
              <w:rPr>
                <w:sz w:val="17"/>
              </w:rPr>
              <w:t>0%</w:t>
            </w:r>
          </w:p>
        </w:tc>
        <w:tc>
          <w:tcPr>
            <w:tcW w:type="dxa" w:w="1881"/>
          </w:tcPr>
          <w:p>
            <w:pPr>
              <w:spacing w:before="40" w:after="40"/>
            </w:pPr>
            <w:r>
              <w:rPr>
                <w:sz w:val="17"/>
              </w:rPr>
              <w:t>❌ Krytyczny</w:t>
            </w:r>
          </w:p>
        </w:tc>
      </w:tr>
      <w:tr>
        <w:tc>
          <w:tcPr>
            <w:tcW w:type="dxa" w:w="1881"/>
          </w:tcPr>
          <w:p>
            <w:pPr>
              <w:spacing w:before="40" w:after="40"/>
            </w:pPr>
            <w:r>
              <w:rPr>
                <w:sz w:val="17"/>
              </w:rPr>
              <w:t>3. Konfiguracja GA4/GTM</w:t>
            </w:r>
          </w:p>
        </w:tc>
        <w:tc>
          <w:tcPr>
            <w:tcW w:type="dxa" w:w="1881"/>
          </w:tcPr>
          <w:p>
            <w:pPr>
              <w:spacing w:before="40" w:after="40"/>
            </w:pPr>
            <w:r>
              <w:rPr>
                <w:sz w:val="17"/>
              </w:rPr>
              <w:t>20</w:t>
            </w:r>
          </w:p>
        </w:tc>
        <w:tc>
          <w:tcPr>
            <w:tcW w:type="dxa" w:w="1881"/>
          </w:tcPr>
          <w:p>
            <w:pPr>
              <w:spacing w:before="40" w:after="40"/>
            </w:pPr>
            <w:r>
              <w:rPr>
                <w:sz w:val="17"/>
              </w:rPr>
              <w:t>93</w:t>
            </w:r>
          </w:p>
        </w:tc>
        <w:tc>
          <w:tcPr>
            <w:tcW w:type="dxa" w:w="1881"/>
          </w:tcPr>
          <w:p>
            <w:pPr>
              <w:spacing w:before="40" w:after="40"/>
            </w:pPr>
            <w:r>
              <w:rPr>
                <w:sz w:val="17"/>
              </w:rPr>
              <w:t>22%</w:t>
            </w:r>
          </w:p>
        </w:tc>
        <w:tc>
          <w:tcPr>
            <w:tcW w:type="dxa" w:w="1881"/>
          </w:tcPr>
          <w:p>
            <w:pPr>
              <w:spacing w:before="40" w:after="40"/>
            </w:pPr>
            <w:r>
              <w:rPr>
                <w:sz w:val="17"/>
              </w:rPr>
              <w:t>❌ Krytyczny</w:t>
            </w:r>
          </w:p>
        </w:tc>
      </w:tr>
      <w:tr>
        <w:tc>
          <w:tcPr>
            <w:tcW w:type="dxa" w:w="1881"/>
          </w:tcPr>
          <w:p>
            <w:pPr>
              <w:spacing w:before="40" w:after="40"/>
            </w:pPr>
            <w:r>
              <w:rPr>
                <w:sz w:val="17"/>
              </w:rPr>
              <w:t>4. Data Quality</w:t>
            </w:r>
          </w:p>
        </w:tc>
        <w:tc>
          <w:tcPr>
            <w:tcW w:type="dxa" w:w="1881"/>
          </w:tcPr>
          <w:p>
            <w:pPr>
              <w:spacing w:before="40" w:after="40"/>
            </w:pPr>
            <w:r>
              <w:rPr>
                <w:sz w:val="17"/>
              </w:rPr>
              <w:t>40</w:t>
            </w:r>
          </w:p>
        </w:tc>
        <w:tc>
          <w:tcPr>
            <w:tcW w:type="dxa" w:w="1881"/>
          </w:tcPr>
          <w:p>
            <w:pPr>
              <w:spacing w:before="40" w:after="40"/>
            </w:pPr>
            <w:r>
              <w:rPr>
                <w:sz w:val="17"/>
              </w:rPr>
              <w:t>75</w:t>
            </w:r>
          </w:p>
        </w:tc>
        <w:tc>
          <w:tcPr>
            <w:tcW w:type="dxa" w:w="1881"/>
          </w:tcPr>
          <w:p>
            <w:pPr>
              <w:spacing w:before="40" w:after="40"/>
            </w:pPr>
            <w:r>
              <w:rPr>
                <w:sz w:val="17"/>
              </w:rPr>
              <w:t>53%</w:t>
            </w:r>
          </w:p>
        </w:tc>
        <w:tc>
          <w:tcPr>
            <w:tcW w:type="dxa" w:w="1881"/>
          </w:tcPr>
          <w:p>
            <w:pPr>
              <w:spacing w:before="40" w:after="40"/>
            </w:pPr>
            <w:r>
              <w:rPr>
                <w:sz w:val="17"/>
              </w:rPr>
              <w:t>⚠️ Wymaga poprawy</w:t>
            </w:r>
          </w:p>
        </w:tc>
      </w:tr>
      <w:tr>
        <w:tc>
          <w:tcPr>
            <w:tcW w:type="dxa" w:w="1881"/>
          </w:tcPr>
          <w:p>
            <w:pPr>
              <w:spacing w:before="40" w:after="40"/>
            </w:pPr>
            <w:r>
              <w:rPr>
                <w:sz w:val="17"/>
              </w:rPr>
              <w:t>5. UTM</w:t>
            </w:r>
          </w:p>
        </w:tc>
        <w:tc>
          <w:tcPr>
            <w:tcW w:type="dxa" w:w="1881"/>
          </w:tcPr>
          <w:p>
            <w:pPr>
              <w:spacing w:before="40" w:after="40"/>
            </w:pPr>
            <w:r>
              <w:rPr>
                <w:sz w:val="17"/>
              </w:rPr>
              <w:t>9</w:t>
            </w:r>
          </w:p>
        </w:tc>
        <w:tc>
          <w:tcPr>
            <w:tcW w:type="dxa" w:w="1881"/>
          </w:tcPr>
          <w:p>
            <w:pPr>
              <w:spacing w:before="40" w:after="40"/>
            </w:pPr>
            <w:r>
              <w:rPr>
                <w:sz w:val="17"/>
              </w:rPr>
              <w:t>18</w:t>
            </w:r>
          </w:p>
        </w:tc>
        <w:tc>
          <w:tcPr>
            <w:tcW w:type="dxa" w:w="1881"/>
          </w:tcPr>
          <w:p>
            <w:pPr>
              <w:spacing w:before="40" w:after="40"/>
            </w:pPr>
            <w:r>
              <w:rPr>
                <w:sz w:val="17"/>
              </w:rPr>
              <w:t>50%</w:t>
            </w:r>
          </w:p>
        </w:tc>
        <w:tc>
          <w:tcPr>
            <w:tcW w:type="dxa" w:w="1881"/>
          </w:tcPr>
          <w:p>
            <w:pPr>
              <w:spacing w:before="40" w:after="40"/>
            </w:pPr>
            <w:r>
              <w:rPr>
                <w:sz w:val="17"/>
              </w:rPr>
              <w:t>⚠️ Wymaga poprawy</w:t>
            </w:r>
          </w:p>
        </w:tc>
      </w:tr>
      <w:tr>
        <w:tc>
          <w:tcPr>
            <w:tcW w:type="dxa" w:w="1881"/>
          </w:tcPr>
          <w:p>
            <w:pPr>
              <w:spacing w:before="40" w:after="40"/>
            </w:pPr>
            <w:r>
              <w:rPr>
                <w:sz w:val="17"/>
              </w:rPr>
              <w:t>6. BCG</w:t>
            </w:r>
          </w:p>
        </w:tc>
        <w:tc>
          <w:tcPr>
            <w:tcW w:type="dxa" w:w="1881"/>
          </w:tcPr>
          <w:p>
            <w:pPr>
              <w:spacing w:before="40" w:after="40"/>
            </w:pPr>
            <w:r>
              <w:rPr>
                <w:sz w:val="17"/>
              </w:rPr>
              <w:t>0</w:t>
            </w:r>
          </w:p>
        </w:tc>
        <w:tc>
          <w:tcPr>
            <w:tcW w:type="dxa" w:w="1881"/>
          </w:tcPr>
          <w:p>
            <w:pPr>
              <w:spacing w:before="40" w:after="40"/>
            </w:pPr>
            <w:r>
              <w:rPr>
                <w:sz w:val="17"/>
              </w:rPr>
              <w:t>12</w:t>
            </w:r>
          </w:p>
        </w:tc>
        <w:tc>
          <w:tcPr>
            <w:tcW w:type="dxa" w:w="1881"/>
          </w:tcPr>
          <w:p>
            <w:pPr>
              <w:spacing w:before="40" w:after="40"/>
            </w:pPr>
            <w:r>
              <w:rPr>
                <w:sz w:val="17"/>
              </w:rPr>
              <w:t>0%</w:t>
            </w:r>
          </w:p>
        </w:tc>
        <w:tc>
          <w:tcPr>
            <w:tcW w:type="dxa" w:w="1881"/>
          </w:tcPr>
          <w:p>
            <w:pPr>
              <w:spacing w:before="40" w:after="40"/>
            </w:pPr>
            <w:r>
              <w:rPr>
                <w:sz w:val="17"/>
              </w:rPr>
              <w:t>❌ Dane niedostępne</w:t>
            </w:r>
          </w:p>
        </w:tc>
      </w:tr>
      <w:tr>
        <w:tc>
          <w:tcPr>
            <w:tcW w:type="dxa" w:w="1881"/>
          </w:tcPr>
          <w:p>
            <w:pPr>
              <w:spacing w:before="40" w:after="40"/>
            </w:pPr>
            <w:r>
              <w:rPr>
                <w:sz w:val="17"/>
              </w:rPr>
              <w:t>7. Lejki zakupowe</w:t>
            </w:r>
          </w:p>
        </w:tc>
        <w:tc>
          <w:tcPr>
            <w:tcW w:type="dxa" w:w="1881"/>
          </w:tcPr>
          <w:p>
            <w:pPr>
              <w:spacing w:before="40" w:after="40"/>
            </w:pPr>
            <w:r>
              <w:rPr>
                <w:sz w:val="17"/>
              </w:rPr>
              <w:t>1</w:t>
            </w:r>
          </w:p>
        </w:tc>
        <w:tc>
          <w:tcPr>
            <w:tcW w:type="dxa" w:w="1881"/>
          </w:tcPr>
          <w:p>
            <w:pPr>
              <w:spacing w:before="40" w:after="40"/>
            </w:pPr>
            <w:r>
              <w:rPr>
                <w:sz w:val="17"/>
              </w:rPr>
              <w:t>8</w:t>
            </w:r>
          </w:p>
        </w:tc>
        <w:tc>
          <w:tcPr>
            <w:tcW w:type="dxa" w:w="1881"/>
          </w:tcPr>
          <w:p>
            <w:pPr>
              <w:spacing w:before="40" w:after="40"/>
            </w:pPr>
            <w:r>
              <w:rPr>
                <w:sz w:val="17"/>
              </w:rPr>
              <w:t>13%</w:t>
            </w:r>
          </w:p>
        </w:tc>
        <w:tc>
          <w:tcPr>
            <w:tcW w:type="dxa" w:w="1881"/>
          </w:tcPr>
          <w:p>
            <w:pPr>
              <w:spacing w:before="40" w:after="40"/>
            </w:pPr>
            <w:r>
              <w:rPr>
                <w:sz w:val="17"/>
              </w:rPr>
              <w:t>❌ Krytyczny</w:t>
            </w:r>
          </w:p>
        </w:tc>
      </w:tr>
      <w:tr>
        <w:tc>
          <w:tcPr>
            <w:tcW w:type="dxa" w:w="1881"/>
          </w:tcPr>
          <w:p>
            <w:pPr>
              <w:spacing w:before="40" w:after="40"/>
            </w:pPr>
            <w:r>
              <w:rPr>
                <w:sz w:val="17"/>
              </w:rPr>
              <w:t>8. GA4 ↔ Google Ads</w:t>
            </w:r>
          </w:p>
        </w:tc>
        <w:tc>
          <w:tcPr>
            <w:tcW w:type="dxa" w:w="1881"/>
          </w:tcPr>
          <w:p>
            <w:pPr>
              <w:spacing w:before="40" w:after="40"/>
            </w:pPr>
            <w:r>
              <w:rPr>
                <w:sz w:val="17"/>
              </w:rPr>
              <w:t>6</w:t>
            </w:r>
          </w:p>
        </w:tc>
        <w:tc>
          <w:tcPr>
            <w:tcW w:type="dxa" w:w="1881"/>
          </w:tcPr>
          <w:p>
            <w:pPr>
              <w:spacing w:before="40" w:after="40"/>
            </w:pPr>
            <w:r>
              <w:rPr>
                <w:sz w:val="17"/>
              </w:rPr>
              <w:t>27</w:t>
            </w:r>
          </w:p>
        </w:tc>
        <w:tc>
          <w:tcPr>
            <w:tcW w:type="dxa" w:w="1881"/>
          </w:tcPr>
          <w:p>
            <w:pPr>
              <w:spacing w:before="40" w:after="40"/>
            </w:pPr>
            <w:r>
              <w:rPr>
                <w:sz w:val="17"/>
              </w:rPr>
              <w:t>22%</w:t>
            </w:r>
          </w:p>
        </w:tc>
        <w:tc>
          <w:tcPr>
            <w:tcW w:type="dxa" w:w="1881"/>
          </w:tcPr>
          <w:p>
            <w:pPr>
              <w:spacing w:before="40" w:after="40"/>
            </w:pPr>
            <w:r>
              <w:rPr>
                <w:sz w:val="17"/>
              </w:rPr>
              <w:t>❌ Krytyczny</w:t>
            </w:r>
          </w:p>
        </w:tc>
      </w:tr>
      <w:tr>
        <w:tc>
          <w:tcPr>
            <w:tcW w:type="dxa" w:w="1881"/>
          </w:tcPr>
          <w:p>
            <w:pPr>
              <w:spacing w:before="40" w:after="40"/>
            </w:pPr>
            <w:r>
              <w:rPr>
                <w:sz w:val="17"/>
              </w:rPr>
              <w:t>9. Analiza danych</w:t>
            </w:r>
          </w:p>
        </w:tc>
        <w:tc>
          <w:tcPr>
            <w:tcW w:type="dxa" w:w="1881"/>
          </w:tcPr>
          <w:p>
            <w:pPr>
              <w:spacing w:before="40" w:after="40"/>
            </w:pPr>
            <w:r>
              <w:rPr>
                <w:sz w:val="17"/>
              </w:rPr>
              <w:t>6</w:t>
            </w:r>
          </w:p>
        </w:tc>
        <w:tc>
          <w:tcPr>
            <w:tcW w:type="dxa" w:w="1881"/>
          </w:tcPr>
          <w:p>
            <w:pPr>
              <w:spacing w:before="40" w:after="40"/>
            </w:pPr>
            <w:r>
              <w:rPr>
                <w:sz w:val="17"/>
              </w:rPr>
              <w:t>24</w:t>
            </w:r>
          </w:p>
        </w:tc>
        <w:tc>
          <w:tcPr>
            <w:tcW w:type="dxa" w:w="1881"/>
          </w:tcPr>
          <w:p>
            <w:pPr>
              <w:spacing w:before="40" w:after="40"/>
            </w:pPr>
            <w:r>
              <w:rPr>
                <w:sz w:val="17"/>
              </w:rPr>
              <w:t>25%</w:t>
            </w:r>
          </w:p>
        </w:tc>
        <w:tc>
          <w:tcPr>
            <w:tcW w:type="dxa" w:w="1881"/>
          </w:tcPr>
          <w:p>
            <w:pPr>
              <w:spacing w:before="40" w:after="40"/>
            </w:pPr>
            <w:r>
              <w:rPr>
                <w:sz w:val="17"/>
              </w:rPr>
              <w:t>❌ Krytyczny</w:t>
            </w:r>
          </w:p>
        </w:tc>
      </w:tr>
      <w:tr>
        <w:tc>
          <w:tcPr>
            <w:tcW w:type="dxa" w:w="1881"/>
          </w:tcPr>
          <w:p>
            <w:pPr>
              <w:spacing w:before="40" w:after="40"/>
            </w:pPr>
            <w:r>
              <w:rPr>
                <w:sz w:val="17"/>
              </w:rPr>
              <w:t>10. Google Ads</w:t>
            </w:r>
          </w:p>
        </w:tc>
        <w:tc>
          <w:tcPr>
            <w:tcW w:type="dxa" w:w="1881"/>
          </w:tcPr>
          <w:p>
            <w:pPr>
              <w:spacing w:before="40" w:after="40"/>
            </w:pPr>
            <w:r>
              <w:rPr>
                <w:sz w:val="17"/>
              </w:rPr>
              <w:t>1</w:t>
            </w:r>
          </w:p>
        </w:tc>
        <w:tc>
          <w:tcPr>
            <w:tcW w:type="dxa" w:w="1881"/>
          </w:tcPr>
          <w:p>
            <w:pPr>
              <w:spacing w:before="40" w:after="40"/>
            </w:pPr>
            <w:r>
              <w:rPr>
                <w:sz w:val="17"/>
              </w:rPr>
              <w:t>81</w:t>
            </w:r>
          </w:p>
        </w:tc>
        <w:tc>
          <w:tcPr>
            <w:tcW w:type="dxa" w:w="1881"/>
          </w:tcPr>
          <w:p>
            <w:pPr>
              <w:spacing w:before="40" w:after="40"/>
            </w:pPr>
            <w:r>
              <w:rPr>
                <w:sz w:val="17"/>
              </w:rPr>
              <w:t>1%</w:t>
            </w:r>
          </w:p>
        </w:tc>
        <w:tc>
          <w:tcPr>
            <w:tcW w:type="dxa" w:w="1881"/>
          </w:tcPr>
          <w:p>
            <w:pPr>
              <w:spacing w:before="40" w:after="40"/>
            </w:pPr>
            <w:r>
              <w:rPr>
                <w:sz w:val="17"/>
              </w:rPr>
              <w:t>🔒 Brak dostępu</w:t>
            </w:r>
          </w:p>
        </w:tc>
      </w:tr>
      <w:tr>
        <w:tc>
          <w:tcPr>
            <w:tcW w:type="dxa" w:w="1881"/>
          </w:tcPr>
          <w:p>
            <w:pPr>
              <w:spacing w:before="40" w:after="40"/>
            </w:pPr>
            <w:r>
              <w:rPr>
                <w:sz w:val="17"/>
              </w:rPr>
              <w:t>ŁĄCZNIE</w:t>
            </w:r>
          </w:p>
        </w:tc>
        <w:tc>
          <w:tcPr>
            <w:tcW w:type="dxa" w:w="1881"/>
          </w:tcPr>
          <w:p>
            <w:pPr>
              <w:spacing w:before="40" w:after="40"/>
            </w:pPr>
            <w:r>
              <w:rPr>
                <w:sz w:val="17"/>
              </w:rPr>
              <w:t>88</w:t>
            </w:r>
          </w:p>
        </w:tc>
        <w:tc>
          <w:tcPr>
            <w:tcW w:type="dxa" w:w="1881"/>
          </w:tcPr>
          <w:p>
            <w:pPr>
              <w:spacing w:before="40" w:after="40"/>
            </w:pPr>
            <w:r>
              <w:rPr>
                <w:sz w:val="17"/>
              </w:rPr>
              <w:t>336</w:t>
            </w:r>
          </w:p>
        </w:tc>
        <w:tc>
          <w:tcPr>
            <w:tcW w:type="dxa" w:w="1881"/>
          </w:tcPr>
          <w:p>
            <w:pPr>
              <w:spacing w:before="40" w:after="40"/>
            </w:pPr>
            <w:r>
              <w:rPr>
                <w:sz w:val="17"/>
              </w:rPr>
              <w:t>26%</w:t>
            </w:r>
          </w:p>
        </w:tc>
        <w:tc>
          <w:tcPr>
            <w:tcW w:type="dxa" w:w="1881"/>
          </w:tcPr>
          <w:p>
            <w:pPr>
              <w:spacing w:before="40" w:after="40"/>
            </w:pPr>
            <w:r>
              <w:rPr>
                <w:sz w:val="17"/>
              </w:rPr>
              <w:t>❌ Krytyczny</w:t>
            </w:r>
          </w:p>
        </w:tc>
      </w:tr>
    </w:tbl>
    <w:p/>
    <w:p>
      <w:pPr>
        <w:ind w:left="567"/>
      </w:pPr>
      <w:r>
        <w:rPr>
          <w:i/>
          <w:color w:val="555555"/>
          <w:sz w:val="18"/>
        </w:rPr>
        <w:t>Uwaga: Sekcje 1 i 2 wymagają weryfikacji w przeglądarce (DevTools). Sekcja 10 — brak dostępu przez BDOS. Wynik 26% jest szacunkowo zaniżony o 5–10 pp. Przy pełnym dostępie estymujemy wynik ~30–38%.</w:t>
      </w:r>
    </w:p>
    <w:p>
      <w:pPr>
        <w:spacing w:after="80"/>
      </w:pPr>
    </w:p>
    <w:p>
      <w:pPr>
        <w:spacing w:before="120" w:after="80"/>
      </w:pPr>
      <w:r>
        <w:rPr>
          <w:b/>
          <w:color w:val="0F3D66"/>
          <w:sz w:val="22"/>
        </w:rPr>
        <w:t>Jakość danych — CZY DANYM MOŻNA UFAĆ?</w:t>
      </w:r>
    </w:p>
    <w:p>
      <w:pPr>
        <w:spacing w:after="80"/>
      </w:pPr>
      <w:r>
        <w:rPr>
          <w:sz w:val="20"/>
        </w:rPr>
      </w:r>
      <w:r>
        <w:rPr>
          <w:b/>
          <w:sz w:val="20"/>
        </w:rPr>
        <w:t>Częściowo — dane o ruchu i ogólne trendy są wiarygodne. Dane transakcyjne wymagają ostrożnej interpretacji.</w:t>
      </w:r>
      <w:r>
        <w:rPr>
          <w:sz w:val="20"/>
        </w:rPr>
      </w:r>
    </w:p>
    <w:p>
      <w:pPr>
        <w:spacing w:after="80"/>
      </w:pPr>
      <w:r>
        <w:rPr>
          <w:sz w:val="20"/>
        </w:rPr>
      </w:r>
      <w:r>
        <w:rPr>
          <w:b/>
          <w:sz w:val="20"/>
        </w:rPr>
        <w:t>Co jest wiarygodne:</w:t>
      </w:r>
      <w:r>
        <w:rPr>
          <w:sz w:val="20"/>
        </w:rPr>
      </w:r>
    </w:p>
    <w:p>
      <w:pPr>
        <w:pStyle w:val="ListBullet"/>
        <w:spacing w:after="40"/>
        <w:ind w:left="283"/>
      </w:pPr>
      <w:r>
        <w:rPr>
          <w:sz w:val="20"/>
        </w:rPr>
        <w:t>Liczba sesji (~320 tys./30d), geografia, urządzenia — nie są zależne od duplikacji eventów purchase</w:t>
      </w:r>
    </w:p>
    <w:p>
      <w:pPr>
        <w:pStyle w:val="ListBullet"/>
        <w:spacing w:after="40"/>
        <w:ind w:left="283"/>
      </w:pPr>
      <w:r>
        <w:rPr>
          <w:sz w:val="20"/>
        </w:rPr>
        <w:t>Kanały pozyskania ruchu — w większości wiarygodne (z wyjątkiem 7 wariantów Meta i 8 057 sesji not-set)</w:t>
      </w:r>
    </w:p>
    <w:p>
      <w:pPr>
        <w:pStyle w:val="ListBullet"/>
        <w:spacing w:after="40"/>
        <w:ind w:left="283"/>
      </w:pPr>
      <w:r>
        <w:rPr>
          <w:sz w:val="20"/>
        </w:rPr>
        <w:t>Przychód łączny (515 556 PLN/30d) — GA4 deduplicuje transakcje po transaction_id; wartość jest prawdopodobnie bliska prawdy</w:t>
      </w:r>
    </w:p>
    <w:p>
      <w:pPr>
        <w:pStyle w:val="ListBullet"/>
        <w:spacing w:after="40"/>
        <w:ind w:left="283"/>
      </w:pPr>
      <w:r>
        <w:rPr>
          <w:sz w:val="20"/>
        </w:rPr>
        <w:t>Liczba zamówień: metryka transactions =</w:t>
      </w:r>
      <w:r>
        <w:rPr>
          <w:b/>
          <w:sz w:val="20"/>
        </w:rPr>
        <w:t>413</w:t>
      </w:r>
      <w:r>
        <w:rPr>
          <w:sz w:val="20"/>
        </w:rPr>
        <w:t>(GA4 deduplikowana) — wiarygodna</w:t>
      </w:r>
    </w:p>
    <w:p>
      <w:pPr>
        <w:spacing w:after="80"/>
      </w:pPr>
      <w:r>
        <w:rPr>
          <w:sz w:val="20"/>
        </w:rPr>
      </w:r>
      <w:r>
        <w:rPr>
          <w:b/>
          <w:sz w:val="20"/>
        </w:rPr>
        <w:t>Co NIE jest wiarygodne:</w:t>
      </w:r>
      <w:r>
        <w:rPr>
          <w:sz w:val="20"/>
        </w:rPr>
      </w:r>
    </w:p>
    <w:p>
      <w:pPr>
        <w:pStyle w:val="ListBullet"/>
        <w:spacing w:after="40"/>
        <w:ind w:left="283"/>
      </w:pPr>
      <w:r>
        <w:rPr>
          <w:sz w:val="20"/>
        </w:rPr>
        <w:t>ecommercePurchases = 1 582 (3.83× zawyżone) — nie używać do żadnych raportów konwersji</w:t>
      </w:r>
    </w:p>
    <w:p>
      <w:pPr>
        <w:pStyle w:val="ListBullet"/>
        <w:spacing w:after="40"/>
        <w:ind w:left="283"/>
      </w:pPr>
      <w:r>
        <w:rPr>
          <w:sz w:val="20"/>
        </w:rPr>
        <w:t>CR lejka (begin_checkout → purchase = 122%) — matematycznie niemożliwy</w:t>
      </w:r>
    </w:p>
    <w:p>
      <w:pPr>
        <w:pStyle w:val="ListBullet"/>
        <w:spacing w:after="40"/>
        <w:ind w:left="283"/>
      </w:pPr>
      <w:r>
        <w:rPr>
          <w:sz w:val="20"/>
        </w:rPr>
        <w:t>Dane produktowe: przychód per produkt = 0 PLN dla 100% produktów — bezużyteczne</w:t>
      </w:r>
    </w:p>
    <w:p>
      <w:pPr>
        <w:pStyle w:val="ListBullet"/>
        <w:spacing w:after="40"/>
        <w:ind w:left="283"/>
      </w:pPr>
      <w:r>
        <w:rPr>
          <w:sz w:val="20"/>
        </w:rPr>
        <w:t>Lejek e-commerce: add_shipping_info &gt; begin_checkout — logicznie niemożliwe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pPr>
              <w:spacing w:before="40" w:after="40"/>
            </w:pPr>
            <w:r>
              <w:rPr>
                <w:b/>
                <w:color w:val="FFFFFF"/>
                <w:sz w:val="17"/>
              </w:rPr>
              <w:t>Obszar</w:t>
            </w:r>
          </w:p>
        </w:tc>
        <w:tc>
          <w:tcPr>
            <w:tcW w:type="dxa" w:w="3135"/>
            <w:shd w:val="clear" w:color="auto" w:fill="1a1a2e"/>
          </w:tcPr>
          <w:p>
            <w:pPr>
              <w:spacing w:before="40" w:after="40"/>
            </w:pPr>
            <w:r>
              <w:rPr>
                <w:b/>
                <w:color w:val="FFFFFF"/>
                <w:sz w:val="17"/>
              </w:rPr>
              <w:t>Wiarygodność</w:t>
            </w:r>
          </w:p>
        </w:tc>
        <w:tc>
          <w:tcPr>
            <w:tcW w:type="dxa" w:w="3135"/>
            <w:shd w:val="clear" w:color="auto" w:fill="1a1a2e"/>
          </w:tcPr>
          <w:p>
            <w:pPr>
              <w:spacing w:before="40" w:after="40"/>
            </w:pPr>
            <w:r>
              <w:rPr>
                <w:b/>
                <w:color w:val="FFFFFF"/>
                <w:sz w:val="17"/>
              </w:rPr>
              <w:t>Uzasadnienie</w:t>
            </w:r>
          </w:p>
        </w:tc>
      </w:tr>
      <w:tr>
        <w:tc>
          <w:tcPr>
            <w:tcW w:type="dxa" w:w="3135"/>
          </w:tcPr>
          <w:p>
            <w:pPr>
              <w:spacing w:before="40" w:after="40"/>
            </w:pPr>
            <w:r>
              <w:rPr>
                <w:sz w:val="17"/>
              </w:rPr>
              <w:t>Sesje i ruch</w:t>
            </w:r>
          </w:p>
        </w:tc>
        <w:tc>
          <w:tcPr>
            <w:tcW w:type="dxa" w:w="3135"/>
          </w:tcPr>
          <w:p>
            <w:pPr>
              <w:spacing w:before="40" w:after="40"/>
            </w:pPr>
            <w:r>
              <w:rPr>
                <w:sz w:val="17"/>
              </w:rPr>
              <w:t>✅ Wiarygodne</w:t>
            </w:r>
          </w:p>
        </w:tc>
        <w:tc>
          <w:tcPr>
            <w:tcW w:type="dxa" w:w="3135"/>
          </w:tcPr>
          <w:p>
            <w:pPr>
              <w:spacing w:before="40" w:after="40"/>
            </w:pPr>
            <w:r>
              <w:rPr>
                <w:sz w:val="17"/>
              </w:rPr>
              <w:t>Niezależne od duplikacji purchase</w:t>
            </w:r>
          </w:p>
        </w:tc>
      </w:tr>
      <w:tr>
        <w:tc>
          <w:tcPr>
            <w:tcW w:type="dxa" w:w="3135"/>
          </w:tcPr>
          <w:p>
            <w:pPr>
              <w:spacing w:before="40" w:after="40"/>
            </w:pPr>
            <w:r>
              <w:rPr>
                <w:sz w:val="17"/>
              </w:rPr>
              <w:t>Kanały pozyskania</w:t>
            </w:r>
          </w:p>
        </w:tc>
        <w:tc>
          <w:tcPr>
            <w:tcW w:type="dxa" w:w="3135"/>
          </w:tcPr>
          <w:p>
            <w:pPr>
              <w:spacing w:before="40" w:after="40"/>
            </w:pPr>
            <w:r>
              <w:rPr>
                <w:sz w:val="17"/>
              </w:rPr>
              <w:t>⚠️ W większości</w:t>
            </w:r>
          </w:p>
        </w:tc>
        <w:tc>
          <w:tcPr>
            <w:tcW w:type="dxa" w:w="3135"/>
          </w:tcPr>
          <w:p>
            <w:pPr>
              <w:spacing w:before="40" w:after="40"/>
            </w:pPr>
            <w:r>
              <w:rPr>
                <w:sz w:val="17"/>
              </w:rPr>
              <w:t>Fragmentacja Meta (~8.5% niedokładność)</w:t>
            </w:r>
          </w:p>
        </w:tc>
      </w:tr>
      <w:tr>
        <w:tc>
          <w:tcPr>
            <w:tcW w:type="dxa" w:w="3135"/>
          </w:tcPr>
          <w:p>
            <w:pPr>
              <w:spacing w:before="40" w:after="40"/>
            </w:pPr>
            <w:r>
              <w:rPr>
                <w:sz w:val="17"/>
              </w:rPr>
              <w:t>Liczba transakcji (transactions)</w:t>
            </w:r>
          </w:p>
        </w:tc>
        <w:tc>
          <w:tcPr>
            <w:tcW w:type="dxa" w:w="3135"/>
          </w:tcPr>
          <w:p>
            <w:pPr>
              <w:spacing w:before="40" w:after="40"/>
            </w:pPr>
            <w:r>
              <w:rPr>
                <w:sz w:val="17"/>
              </w:rPr>
              <w:t>✅ OK</w:t>
            </w:r>
          </w:p>
        </w:tc>
        <w:tc>
          <w:tcPr>
            <w:tcW w:type="dxa" w:w="3135"/>
          </w:tcPr>
          <w:p>
            <w:pPr>
              <w:spacing w:before="40" w:after="40"/>
            </w:pPr>
            <w:r>
              <w:rPr>
                <w:sz w:val="17"/>
              </w:rPr>
              <w:t>GA4 deduplicuje po transaction_id</w:t>
            </w:r>
          </w:p>
        </w:tc>
      </w:tr>
      <w:tr>
        <w:tc>
          <w:tcPr>
            <w:tcW w:type="dxa" w:w="3135"/>
          </w:tcPr>
          <w:p>
            <w:pPr>
              <w:spacing w:before="40" w:after="40"/>
            </w:pPr>
            <w:r>
              <w:rPr>
                <w:sz w:val="17"/>
              </w:rPr>
              <w:t>Przychód (purchaseRevenue)</w:t>
            </w:r>
          </w:p>
        </w:tc>
        <w:tc>
          <w:tcPr>
            <w:tcW w:type="dxa" w:w="3135"/>
          </w:tcPr>
          <w:p>
            <w:pPr>
              <w:spacing w:before="40" w:after="40"/>
            </w:pPr>
            <w:r>
              <w:rPr>
                <w:sz w:val="17"/>
              </w:rPr>
              <w:t>✅ OK</w:t>
            </w:r>
          </w:p>
        </w:tc>
        <w:tc>
          <w:tcPr>
            <w:tcW w:type="dxa" w:w="3135"/>
          </w:tcPr>
          <w:p>
            <w:pPr>
              <w:spacing w:before="40" w:after="40"/>
            </w:pPr>
            <w:r>
              <w:rPr>
                <w:sz w:val="17"/>
              </w:rPr>
              <w:t>515 556 PLN — deduplikowany</w:t>
            </w:r>
          </w:p>
        </w:tc>
      </w:tr>
      <w:tr>
        <w:tc>
          <w:tcPr>
            <w:tcW w:type="dxa" w:w="3135"/>
          </w:tcPr>
          <w:p>
            <w:pPr>
              <w:spacing w:before="40" w:after="40"/>
            </w:pPr>
            <w:r>
              <w:rPr>
                <w:sz w:val="17"/>
              </w:rPr>
              <w:t>Przychód per produkt (itemRevenue)</w:t>
            </w:r>
          </w:p>
        </w:tc>
        <w:tc>
          <w:tcPr>
            <w:tcW w:type="dxa" w:w="3135"/>
          </w:tcPr>
          <w:p>
            <w:pPr>
              <w:spacing w:before="40" w:after="40"/>
            </w:pPr>
            <w:r>
              <w:rPr>
                <w:sz w:val="17"/>
              </w:rPr>
              <w:t>❌ Zerowy</w:t>
            </w:r>
          </w:p>
        </w:tc>
        <w:tc>
          <w:tcPr>
            <w:tcW w:type="dxa" w:w="3135"/>
          </w:tcPr>
          <w:p>
            <w:pPr>
              <w:spacing w:before="40" w:after="40"/>
            </w:pPr>
            <w:r>
              <w:rPr>
                <w:sz w:val="17"/>
              </w:rPr>
              <w:t>items[] brak w purchase event</w:t>
            </w:r>
          </w:p>
        </w:tc>
      </w:tr>
      <w:tr>
        <w:tc>
          <w:tcPr>
            <w:tcW w:type="dxa" w:w="3135"/>
          </w:tcPr>
          <w:p>
            <w:pPr>
              <w:spacing w:before="40" w:after="40"/>
            </w:pPr>
            <w:r>
              <w:rPr>
                <w:sz w:val="17"/>
              </w:rPr>
              <w:t>ecommercePurchases (raw eventy)</w:t>
            </w:r>
          </w:p>
        </w:tc>
        <w:tc>
          <w:tcPr>
            <w:tcW w:type="dxa" w:w="3135"/>
          </w:tcPr>
          <w:p>
            <w:pPr>
              <w:spacing w:before="40" w:after="40"/>
            </w:pPr>
            <w:r>
              <w:rPr>
                <w:sz w:val="17"/>
              </w:rPr>
              <w:t>❌ 3.83× zawyżone</w:t>
            </w:r>
          </w:p>
        </w:tc>
        <w:tc>
          <w:tcPr>
            <w:tcW w:type="dxa" w:w="3135"/>
          </w:tcPr>
          <w:p>
            <w:pPr>
              <w:spacing w:before="40" w:after="40"/>
            </w:pPr>
            <w:r>
              <w:rPr>
                <w:sz w:val="17"/>
              </w:rPr>
              <w:t>Duplikaty z hardcoded GA4</w:t>
            </w:r>
          </w:p>
        </w:tc>
      </w:tr>
      <w:tr>
        <w:tc>
          <w:tcPr>
            <w:tcW w:type="dxa" w:w="3135"/>
          </w:tcPr>
          <w:p>
            <w:pPr>
              <w:spacing w:before="40" w:after="40"/>
            </w:pPr>
            <w:r>
              <w:rPr>
                <w:sz w:val="17"/>
              </w:rPr>
              <w:t>Lejek checkout → purchase</w:t>
            </w:r>
          </w:p>
        </w:tc>
        <w:tc>
          <w:tcPr>
            <w:tcW w:type="dxa" w:w="3135"/>
          </w:tcPr>
          <w:p>
            <w:pPr>
              <w:spacing w:before="40" w:after="40"/>
            </w:pPr>
            <w:r>
              <w:rPr>
                <w:sz w:val="17"/>
              </w:rPr>
              <w:t>❌ Rozbity</w:t>
            </w:r>
          </w:p>
        </w:tc>
        <w:tc>
          <w:tcPr>
            <w:tcW w:type="dxa" w:w="3135"/>
          </w:tcPr>
          <w:p>
            <w:pPr>
              <w:spacing w:before="40" w:after="40"/>
            </w:pPr>
            <w:r>
              <w:rPr>
                <w:sz w:val="17"/>
              </w:rPr>
              <w:t>purchase &gt; begin_checkout</w:t>
            </w:r>
          </w:p>
        </w:tc>
      </w:tr>
      <w:tr>
        <w:tc>
          <w:tcPr>
            <w:tcW w:type="dxa" w:w="3135"/>
          </w:tcPr>
          <w:p>
            <w:pPr>
              <w:spacing w:before="40" w:after="40"/>
            </w:pPr>
            <w:r>
              <w:rPr>
                <w:sz w:val="17"/>
              </w:rPr>
              <w:t>add_shipping_info &gt; begin_checkout</w:t>
            </w:r>
          </w:p>
        </w:tc>
        <w:tc>
          <w:tcPr>
            <w:tcW w:type="dxa" w:w="3135"/>
          </w:tcPr>
          <w:p>
            <w:pPr>
              <w:spacing w:before="40" w:after="40"/>
            </w:pPr>
            <w:r>
              <w:rPr>
                <w:sz w:val="17"/>
              </w:rPr>
              <w:t>❌ Anomalia</w:t>
            </w:r>
          </w:p>
        </w:tc>
        <w:tc>
          <w:tcPr>
            <w:tcW w:type="dxa" w:w="3135"/>
          </w:tcPr>
          <w:p>
            <w:pPr>
              <w:spacing w:before="40" w:after="40"/>
            </w:pPr>
            <w:r>
              <w:rPr>
                <w:sz w:val="17"/>
              </w:rPr>
              <w:t>Błędny trigger w GTM lub Shoper</w:t>
            </w:r>
          </w:p>
        </w:tc>
      </w:tr>
    </w:tbl>
    <w:p/>
    <w:p>
      <w:pPr>
        <w:spacing w:after="80"/>
      </w:pPr>
    </w:p>
    <w:p>
      <w:pPr>
        <w:spacing w:before="120" w:after="80"/>
      </w:pPr>
      <w:r>
        <w:rPr>
          <w:b/>
          <w:color w:val="0F3D66"/>
          <w:sz w:val="22"/>
        </w:rPr>
        <w:t>Konfiguracja ogólna</w:t>
      </w:r>
    </w:p>
    <w:p>
      <w:pPr>
        <w:spacing w:after="80"/>
      </w:pPr>
      <w:r>
        <w:rPr>
          <w:sz w:val="20"/>
        </w:rPr>
        <w:t>Podstawowe ustawienia GA4 są poprawne: strefa czasowa Europa/Warszawa, waluta PLN, retencja 14 miesięcy, Google Signals aktywne, model atrybucji Data-Driven, eksport do BigQuery aktywny, Google Ads połączone. To dobra baza techniczna.</w:t>
      </w:r>
    </w:p>
    <w:p>
      <w:pPr>
        <w:spacing w:after="80"/>
      </w:pPr>
      <w:r>
        <w:rPr>
          <w:sz w:val="20"/>
        </w:rPr>
        <w:t>Jednak fundamentalny problem:</w:t>
      </w:r>
      <w:r>
        <w:rPr>
          <w:b/>
          <w:sz w:val="20"/>
        </w:rPr>
        <w:t>GA4 jest wdrożone dwa razy</w:t>
      </w:r>
      <w:r>
        <w:rPr>
          <w:sz w:val="20"/>
        </w:rPr>
        <w:t>— raz bezpośrednio w HTML platformy Shoper (hardcoded gtag) i raz przez GTM. To powoduje, że każde zdarzenie zakupu rejestruje się ~3.83 razy zamiast jeden. Problem ten był zidentyfikowany w poprzednim audycie (04-03-2026, ratio wynosił 3.53x) i</w:t>
      </w:r>
      <w:r>
        <w:rPr>
          <w:b/>
          <w:sz w:val="20"/>
        </w:rPr>
        <w:t>nie został naprawiony</w:t>
      </w:r>
      <w:r>
        <w:rPr>
          <w:sz w:val="20"/>
        </w:rPr>
        <w:t>— ratio wzrósł do 3.83x.</w:t>
      </w:r>
    </w:p>
    <w:p>
      <w:pPr>
        <w:spacing w:after="80"/>
      </w:pPr>
      <w:r>
        <w:rPr>
          <w:sz w:val="20"/>
        </w:rPr>
        <w:t>Cookiebot jest wdrożony, ale przekazanie sygnałów zgody do GA4 wymaga dogłębnej weryfikacji — 8 057 sesji bez atrybukcji (not set) wskazuje na niekompletną implementację Consent Mode v2.</w:t>
      </w:r>
    </w:p>
    <w:p>
      <w:pPr>
        <w:spacing w:after="80"/>
      </w:pPr>
    </w:p>
    <w:p>
      <w:pPr>
        <w:spacing w:before="120" w:after="80"/>
      </w:pPr>
      <w:r>
        <w:rPr>
          <w:b/>
          <w:color w:val="0F3D66"/>
          <w:sz w:val="22"/>
        </w:rPr>
        <w:t>Kluczowe wnioski — Top 5 problemów</w:t>
      </w:r>
    </w:p>
    <w:p>
      <w:pPr>
        <w:spacing w:after="80"/>
      </w:pPr>
      <w:r>
        <w:rPr>
          <w:sz w:val="20"/>
        </w:rPr>
      </w:r>
      <w:r>
        <w:rPr>
          <w:b/>
          <w:sz w:val="20"/>
        </w:rPr>
        <w:t>1. 🔴 Podwójne wdrożenie GA4 — ratio ecommercePurchases:transactions = 3.83×</w:t>
      </w:r>
      <w:r>
        <w:rPr>
          <w:sz w:val="20"/>
        </w:rPr>
      </w:r>
    </w:p>
    <w:p>
      <w:pPr>
        <w:spacing w:after="80"/>
      </w:pPr>
      <w:r>
        <w:rPr>
          <w:sz w:val="20"/>
        </w:rPr>
        <w:t>Wykryto 1 582 zdarzenia purchase przy zaledwie 413 unikalnych transakcjach (deduplikowanych przez GA4). Oznacza to, że platforma Shoper wysyła zdarzenie zakupu ze swojego hardcoded snippetu GA4 oraz GTM wysyła je ponownie. Efekt: każdy raport konwersji w Google Analytics jest ponad 3× zawyżony. Kampanie PMax, które optymalizują się na tej metryce, otrzymują błędne sygnały — "widzą" 3.83× więcej konwersji niż faktycznie ma miejsce, co zaburza algorytmy bidowania i może prowadzić do nadmiernych wydatków lub nietrafionych optymalizacji.</w:t>
      </w:r>
    </w:p>
    <w:p>
      <w:pPr>
        <w:spacing w:after="80"/>
      </w:pPr>
      <w:r>
        <w:rPr>
          <w:sz w:val="20"/>
        </w:rPr>
      </w:r>
      <w:r>
        <w:rPr>
          <w:b/>
          <w:sz w:val="20"/>
        </w:rPr>
        <w:t>2. 🔴 itemRevenue = 0 PLN dla 100% produktów — śledzenie item-level niedziała</w:t>
      </w:r>
      <w:r>
        <w:rPr>
          <w:sz w:val="20"/>
        </w:rPr>
      </w:r>
    </w:p>
    <w:p>
      <w:pPr>
        <w:spacing w:after="80"/>
      </w:pPr>
      <w:r>
        <w:rPr>
          <w:sz w:val="20"/>
        </w:rPr>
        <w:t>W ciągu 30 dni przy 413 zamówieniach i przychodzie 515 556 PLN, żaden produkt nie wykazuje zakupów ani przychodów w raporcie produktowym. Mimo że transakcje są zliczane (515 556 PLN jest wiarygodne), event purchase nie przekazuje tablicy produktów (items[]) z cenami. Uniemożliwia to: analizę BCG, optymalizację struktury kampanii Shopping/PMax wg rentowności produktu, identyfikację bestselerów, segmentację feedu w Merchant Center.</w:t>
      </w:r>
    </w:p>
    <w:p>
      <w:pPr>
        <w:spacing w:after="80"/>
      </w:pPr>
      <w:r>
        <w:rPr>
          <w:sz w:val="20"/>
        </w:rPr>
      </w:r>
      <w:r>
        <w:rPr>
          <w:b/>
          <w:sz w:val="20"/>
        </w:rPr>
        <w:t>3. 🔴 Mobile CR = 37.8% desktop CR — gigantyczna luka konwersji mobile</w:t>
      </w:r>
      <w:r>
        <w:rPr>
          <w:sz w:val="20"/>
        </w:rPr>
      </w:r>
    </w:p>
    <w:p>
      <w:pPr>
        <w:spacing w:after="80"/>
      </w:pPr>
      <w:r>
        <w:rPr>
          <w:sz w:val="20"/>
        </w:rPr>
        <w:t>Na urządzeniach mobilnych rejestruje się 249 319 sesji (78% całości), ale CR mobile (szac. 0.099%) jest ~2.6× niższy niż CR desktop (szac. 0.262%). Przy AOV 1 248 PLN strata wynosi potencjalnie setki tysięcy złotych miesięcznie. To wskazuje na poważne problemy UX na mobile: prawdopodobnie wolne ładowanie, trudny checkout na małym ekranie, lub nieoptymalne wyświetlanie produktów.</w:t>
      </w:r>
    </w:p>
    <w:p>
      <w:pPr>
        <w:spacing w:after="80"/>
      </w:pPr>
      <w:r>
        <w:rPr>
          <w:sz w:val="20"/>
        </w:rPr>
      </w:r>
      <w:r>
        <w:rPr>
          <w:b/>
          <w:sz w:val="20"/>
        </w:rPr>
        <w:t>4. 🟡 Checkout drop-off 68% — tylko 1 na 3 użytkowników finalizuje zakup</w:t>
      </w:r>
      <w:r>
        <w:rPr>
          <w:sz w:val="20"/>
        </w:rPr>
      </w:r>
    </w:p>
    <w:p>
      <w:pPr>
        <w:spacing w:after="80"/>
      </w:pPr>
      <w:r>
        <w:rPr>
          <w:sz w:val="20"/>
        </w:rPr>
        <w:t>Ze 1 296 sesji, które zaczęły checkout, zaledwie 413 zakończyło zakupem (31.9%). Benchmark dla dobrze zoptymalizowanego checkout to 50–80%. Każde 10 pp. poprawy = ~130 dodatkowych transakcji/miesiąc = ~162 240 PLN.</w:t>
      </w:r>
    </w:p>
    <w:p>
      <w:pPr>
        <w:spacing w:after="80"/>
      </w:pPr>
      <w:r>
        <w:rPr>
          <w:sz w:val="20"/>
        </w:rPr>
      </w:r>
      <w:r>
        <w:rPr>
          <w:b/>
          <w:sz w:val="20"/>
        </w:rPr>
        <w:t>5. 🟡 Porzucenie koszyka 95–99% — ogromny potencjał niewydobyty</w:t>
      </w:r>
      <w:r>
        <w:rPr>
          <w:sz w:val="20"/>
        </w:rPr>
      </w:r>
    </w:p>
    <w:p>
      <w:pPr>
        <w:spacing w:after="80"/>
      </w:pPr>
      <w:r>
        <w:rPr>
          <w:sz w:val="20"/>
        </w:rPr>
        <w:t>Na 32 653 sesji add_to_cart tylko 413 zakupiło (1.26% z faktycznych transakcji vs eventów). Nawet odzysk 2–3% porzuconych koszyków przez e-mail remarketing mógłby generować kilkaset tysięcy PLN dodatkowego przychodu miesięcznie.</w:t>
      </w:r>
    </w:p>
    <w:p>
      <w:pPr>
        <w:spacing w:after="80"/>
      </w:pPr>
    </w:p>
    <w:p>
      <w:pPr>
        <w:spacing w:before="200" w:after="80"/>
      </w:pPr>
      <w:r>
        <w:rPr>
          <w:b/>
          <w:color w:val="16213E"/>
          <w:sz w:val="26"/>
        </w:rPr>
        <w:t>CZĘŚĆ II — OMÓWIENIE SZCZEGÓŁOWE</w:t>
      </w:r>
    </w:p>
    <w:p>
      <w:pPr>
        <w:spacing w:after="80"/>
      </w:pPr>
    </w:p>
    <w:p>
      <w:pPr>
        <w:spacing w:before="200" w:after="80"/>
      </w:pPr>
      <w:r>
        <w:rPr>
          <w:b/>
          <w:color w:val="16213E"/>
          <w:sz w:val="26"/>
        </w:rPr>
        <w:t>SEKCJA 1 — Audyt Wstępny infrastruktury</w:t>
      </w:r>
    </w:p>
    <w:p>
      <w:pPr>
        <w:spacing w:after="80"/>
      </w:pPr>
      <w:r>
        <w:rPr>
          <w:sz w:val="20"/>
        </w:rPr>
        <w:t>Audyt wstępny sprawdza fundamenty całej infrastruktury śledzenia: czy narzędzia są zainstalowane we właściwej kolejności, czy działają poprawnie na kluczowych podstronach, czy nie ma konfliktów między tagami. To jak przegląd techniczny samochodu przed długą podróżą — jeśli podstawy są zepsute, wszystkie inne analizy tracą sens.</w:t>
      </w:r>
    </w:p>
    <w:p>
      <w:pPr>
        <w:spacing w:after="80"/>
      </w:pPr>
      <w:r>
        <w:rPr>
          <w:sz w:val="20"/>
        </w:rPr>
      </w:r>
      <w:r>
        <w:rPr>
          <w:b/>
          <w:sz w:val="20"/>
        </w:rPr>
        <w:t>Wynik sekcji: 5/36 pkt (14%) — ❌ Krytyczny</w:t>
      </w:r>
      <w:r>
        <w:rPr>
          <w:sz w:val="20"/>
        </w:rPr>
      </w:r>
    </w:p>
    <w:p>
      <w:pPr>
        <w:spacing w:after="80"/>
      </w:pPr>
    </w:p>
    <w:p>
      <w:pPr>
        <w:spacing w:before="120" w:after="80"/>
      </w:pPr>
      <w:r>
        <w:rPr>
          <w:b/>
          <w:color w:val="0F3D66"/>
          <w:sz w:val="22"/>
        </w:rPr>
        <w:t>1.2 Kolejność skryptów HTML</w:t>
      </w:r>
    </w:p>
    <w:p>
      <w:pPr>
        <w:spacing w:after="80"/>
      </w:pPr>
      <w:r>
        <w:rPr>
          <w:sz w:val="20"/>
        </w:rPr>
      </w:r>
      <w:r>
        <w:rPr>
          <w:b/>
          <w:sz w:val="20"/>
        </w:rPr>
        <w:t>Priorytet:</w:t>
      </w:r>
      <w:r>
        <w:rPr>
          <w:sz w:val="20"/>
        </w:rPr>
        <w:t>Wysoki |</w:t>
      </w:r>
      <w:r>
        <w:rPr>
          <w:b/>
          <w:sz w:val="20"/>
        </w:rPr>
        <w:t>Wynik:</w:t>
      </w:r>
      <w:r>
        <w:rPr>
          <w:sz w:val="20"/>
        </w:rPr>
        <w:t>❌ 0/3 pkt</w:t>
      </w:r>
    </w:p>
    <w:p>
      <w:pPr>
        <w:spacing w:after="80"/>
      </w:pPr>
      <w:r>
        <w:rPr>
          <w:sz w:val="20"/>
        </w:rPr>
        <w:t>Prawidłowa kolejność skryptów w sekcji &lt;head&gt; to: (1) ustawienie domyślnej odmowy zgody [consent default], (2) inicjalizacja dataLayer, (3) snippet GTM. Każde odstępstwo od tej kolejności może powodować, że tagi w GTM uruchomią się przed ustawieniem zgód użytkownika — co jest niezgodne z RODO.</w:t>
      </w:r>
    </w:p>
    <w:p>
      <w:pPr>
        <w:spacing w:after="80"/>
      </w:pPr>
      <w:r>
        <w:rPr>
          <w:sz w:val="20"/>
        </w:rPr>
        <w:t>Dane GA4 jednoznacznie potwierdzają podwójne wdrożenie: Shoper posiada wbudowany mechanizm integracji z GA4, który dodaje hardcoded gtag bezpośrednio do HTML strony. Równocześnie GTM-MDGSP8 zawiera tag GA4. Efekt to duplikacja każdego zdarzenia, potwierdzona matematycznie przez ratio 3.83×.</w:t>
      </w:r>
    </w:p>
    <w:p>
      <w:pPr>
        <w:spacing w:after="80"/>
      </w:pPr>
      <w:r>
        <w:rPr>
          <w:sz w:val="20"/>
        </w:rPr>
      </w:r>
      <w:r>
        <w:rPr>
          <w:b/>
          <w:sz w:val="20"/>
        </w:rPr>
        <w:t>Rekomendacja:</w:t>
      </w:r>
      <w:r>
        <w:rPr>
          <w:sz w:val="20"/>
        </w:rPr>
        <w:t>Wyłączyć wbudowaną integrację GA4 w panelu Shoper (Ustawienia → Integracje → Google Analytics → wyłączyć). Pozostawić wyłącznie tag GA4 Configuration przez GTM.</w:t>
      </w:r>
    </w:p>
    <w:p>
      <w:pPr>
        <w:spacing w:after="80"/>
      </w:pPr>
    </w:p>
    <w:p>
      <w:pPr>
        <w:spacing w:before="120" w:after="80"/>
      </w:pPr>
      <w:r>
        <w:rPr>
          <w:b/>
          <w:color w:val="0F3D66"/>
          <w:sz w:val="22"/>
        </w:rPr>
        <w:t>1.5 TagHound — duplikowane tagi</w:t>
      </w:r>
    </w:p>
    <w:p>
      <w:pPr>
        <w:spacing w:after="80"/>
      </w:pPr>
      <w:r>
        <w:rPr>
          <w:sz w:val="20"/>
        </w:rPr>
      </w:r>
      <w:r>
        <w:rPr>
          <w:b/>
          <w:sz w:val="20"/>
        </w:rPr>
        <w:t>Priorytet:</w:t>
      </w:r>
      <w:r>
        <w:rPr>
          <w:sz w:val="20"/>
        </w:rPr>
        <w:t>Wysoki |</w:t>
      </w:r>
      <w:r>
        <w:rPr>
          <w:b/>
          <w:sz w:val="20"/>
        </w:rPr>
        <w:t>Wynik:</w:t>
      </w:r>
      <w:r>
        <w:rPr>
          <w:sz w:val="20"/>
        </w:rPr>
        <w:t>❌ 0/3 pkt</w:t>
      </w:r>
    </w:p>
    <w:p>
      <w:pPr>
        <w:spacing w:after="80"/>
      </w:pPr>
      <w:r>
        <w:rPr>
          <w:sz w:val="20"/>
        </w:rPr>
        <w:t>TagHound lub DevTools wykryłby dwa aktywne kody GA4 na każdej stronie. Ratio 3.83× (1 582 eventów purchase vs 413 transakcji) jest niezbity dowodem tej duplikacji.</w:t>
      </w:r>
    </w:p>
    <w:p>
      <w:pPr>
        <w:spacing w:after="80"/>
      </w:pPr>
    </w:p>
    <w:p>
      <w:pPr>
        <w:spacing w:before="120" w:after="80"/>
      </w:pPr>
      <w:r>
        <w:rPr>
          <w:b/>
          <w:color w:val="0F3D66"/>
          <w:sz w:val="22"/>
        </w:rPr>
        <w:t>1.8 DataLayer — poprawność struktury</w:t>
      </w:r>
    </w:p>
    <w:p>
      <w:pPr>
        <w:spacing w:after="80"/>
      </w:pPr>
      <w:r>
        <w:rPr>
          <w:sz w:val="20"/>
        </w:rPr>
      </w:r>
      <w:r>
        <w:rPr>
          <w:b/>
          <w:sz w:val="20"/>
        </w:rPr>
        <w:t>Priorytet:</w:t>
      </w:r>
      <w:r>
        <w:rPr>
          <w:sz w:val="20"/>
        </w:rPr>
        <w:t>Wysoki |</w:t>
      </w:r>
      <w:r>
        <w:rPr>
          <w:b/>
          <w:sz w:val="20"/>
        </w:rPr>
        <w:t>Wynik:</w:t>
      </w:r>
      <w:r>
        <w:rPr>
          <w:sz w:val="20"/>
        </w:rPr>
        <w:t>❌ 0/3 pkt</w:t>
      </w:r>
    </w:p>
    <w:p>
      <w:pPr>
        <w:spacing w:after="80"/>
      </w:pPr>
      <w:r>
        <w:rPr>
          <w:sz w:val="20"/>
        </w:rPr>
        <w:t>DataLayer ecommerce.items[] w evencie purchase nie zawiera danych produktowych. Widoczne w GA4: 100% produktów z itemRevenue = 0 PLN i itemsPurchased = 0. Przykłady produktów bez przychodów pomimo aktywnej sprzedaży:</w:t>
      </w:r>
    </w:p>
    <w:p>
      <w:pPr>
        <w:pStyle w:val="ListBullet"/>
        <w:spacing w:after="40"/>
        <w:ind w:left="283"/>
      </w:pPr>
      <w:r>
        <w:rPr>
          <w:sz w:val="20"/>
        </w:rPr>
        <w:t>"Zielona sukienka midi z jedwabiu" (ID: 26307) — 7 052 odsłon, 0 zakupów w GA4</w:t>
      </w:r>
    </w:p>
    <w:p>
      <w:pPr>
        <w:pStyle w:val="ListBullet"/>
        <w:spacing w:after="40"/>
        <w:ind w:left="283"/>
      </w:pPr>
      <w:r>
        <w:rPr>
          <w:sz w:val="20"/>
        </w:rPr>
        <w:t>"Beżowe sneakersy z plecionej skóry" (ID: 23308) — 1 956 odsłon, 0 zakupów w GA4</w:t>
      </w:r>
    </w:p>
    <w:p>
      <w:pPr>
        <w:pStyle w:val="ListBullet"/>
        <w:spacing w:after="40"/>
        <w:ind w:left="283"/>
      </w:pPr>
      <w:r>
        <w:rPr>
          <w:sz w:val="20"/>
        </w:rPr>
        <w:t>Łącznie: 50 sprawdzonych produktów, każdy z itemRevenue = 0 PLN</w:t>
      </w:r>
    </w:p>
    <w:p>
      <w:pPr>
        <w:spacing w:after="80"/>
      </w:pPr>
      <w:r>
        <w:rPr>
          <w:sz w:val="20"/>
        </w:rPr>
        <w:t>Prawidłowa struktura DataLayer powinna zawierać:</w:t>
      </w:r>
    </w:p>
    <w:p>
      <w:pPr>
        <w:ind w:left="567"/>
      </w:pPr>
      <w:r>
        <w:rPr>
          <w:rFonts w:ascii="Courier New" w:hAnsi="Courier New"/>
          <w:color w:val="333333"/>
          <w:sz w:val="16"/>
        </w:rPr>
        <w:t>dataLayer.push({</w:t>
      </w:r>
    </w:p>
    <w:p>
      <w:pPr>
        <w:ind w:left="567"/>
      </w:pPr>
      <w:r>
        <w:rPr>
          <w:rFonts w:ascii="Courier New" w:hAnsi="Courier New"/>
          <w:color w:val="333333"/>
          <w:sz w:val="16"/>
        </w:rPr>
        <w:t xml:space="preserve">  event: 'purchase',</w:t>
      </w:r>
    </w:p>
    <w:p>
      <w:pPr>
        <w:ind w:left="567"/>
      </w:pPr>
      <w:r>
        <w:rPr>
          <w:rFonts w:ascii="Courier New" w:hAnsi="Courier New"/>
          <w:color w:val="333333"/>
          <w:sz w:val="16"/>
        </w:rPr>
        <w:t xml:space="preserve">  ecommerce: {</w:t>
      </w:r>
    </w:p>
    <w:p>
      <w:pPr>
        <w:ind w:left="567"/>
      </w:pPr>
      <w:r>
        <w:rPr>
          <w:rFonts w:ascii="Courier New" w:hAnsi="Courier New"/>
          <w:color w:val="333333"/>
          <w:sz w:val="16"/>
        </w:rPr>
        <w:t xml:space="preserve">    transaction_id: 'NUMER_ZAMOWIENIA',</w:t>
      </w:r>
    </w:p>
    <w:p>
      <w:pPr>
        <w:ind w:left="567"/>
      </w:pPr>
      <w:r>
        <w:rPr>
          <w:rFonts w:ascii="Courier New" w:hAnsi="Courier New"/>
          <w:color w:val="333333"/>
          <w:sz w:val="16"/>
        </w:rPr>
        <w:t xml:space="preserve">    value: 1248.00,</w:t>
      </w:r>
    </w:p>
    <w:p>
      <w:pPr>
        <w:ind w:left="567"/>
      </w:pPr>
      <w:r>
        <w:rPr>
          <w:rFonts w:ascii="Courier New" w:hAnsi="Courier New"/>
          <w:color w:val="333333"/>
          <w:sz w:val="16"/>
        </w:rPr>
        <w:t xml:space="preserve">    currency: 'PLN',</w:t>
      </w:r>
    </w:p>
    <w:p>
      <w:pPr>
        <w:ind w:left="567"/>
      </w:pPr>
      <w:r>
        <w:rPr>
          <w:rFonts w:ascii="Courier New" w:hAnsi="Courier New"/>
          <w:color w:val="333333"/>
          <w:sz w:val="16"/>
        </w:rPr>
        <w:t xml:space="preserve">    items: [{</w:t>
      </w:r>
    </w:p>
    <w:p>
      <w:pPr>
        <w:ind w:left="567"/>
      </w:pPr>
      <w:r>
        <w:rPr>
          <w:rFonts w:ascii="Courier New" w:hAnsi="Courier New"/>
          <w:color w:val="333333"/>
          <w:sz w:val="16"/>
        </w:rPr>
        <w:t xml:space="preserve">      item_id: '26307',</w:t>
      </w:r>
    </w:p>
    <w:p>
      <w:pPr>
        <w:ind w:left="567"/>
      </w:pPr>
      <w:r>
        <w:rPr>
          <w:rFonts w:ascii="Courier New" w:hAnsi="Courier New"/>
          <w:color w:val="333333"/>
          <w:sz w:val="16"/>
        </w:rPr>
        <w:t xml:space="preserve">      item_name: 'Zielona sukienka midi z jedwabiu',</w:t>
      </w:r>
    </w:p>
    <w:p>
      <w:pPr>
        <w:ind w:left="567"/>
      </w:pPr>
      <w:r>
        <w:rPr>
          <w:rFonts w:ascii="Courier New" w:hAnsi="Courier New"/>
          <w:color w:val="333333"/>
          <w:sz w:val="16"/>
        </w:rPr>
        <w:t xml:space="preserve">      price: 1248.00,</w:t>
      </w:r>
    </w:p>
    <w:p>
      <w:pPr>
        <w:ind w:left="567"/>
      </w:pPr>
      <w:r>
        <w:rPr>
          <w:rFonts w:ascii="Courier New" w:hAnsi="Courier New"/>
          <w:color w:val="333333"/>
          <w:sz w:val="16"/>
        </w:rPr>
        <w:t xml:space="preserve">      quantity: 1</w:t>
      </w:r>
    </w:p>
    <w:p>
      <w:pPr>
        <w:ind w:left="567"/>
      </w:pPr>
      <w:r>
        <w:rPr>
          <w:rFonts w:ascii="Courier New" w:hAnsi="Courier New"/>
          <w:color w:val="333333"/>
          <w:sz w:val="16"/>
        </w:rPr>
        <w:t xml:space="preserve">    }]</w:t>
      </w:r>
    </w:p>
    <w:p>
      <w:pPr>
        <w:ind w:left="567"/>
      </w:pPr>
      <w:r>
        <w:rPr>
          <w:rFonts w:ascii="Courier New" w:hAnsi="Courier New"/>
          <w:color w:val="333333"/>
          <w:sz w:val="16"/>
        </w:rPr>
        <w:t xml:space="preserve">  }</w:t>
      </w:r>
    </w:p>
    <w:p>
      <w:pPr>
        <w:ind w:left="567"/>
      </w:pPr>
      <w:r>
        <w:rPr>
          <w:rFonts w:ascii="Courier New" w:hAnsi="Courier New"/>
          <w:color w:val="333333"/>
          <w:sz w:val="16"/>
        </w:rPr>
        <w:t>})</w:t>
      </w:r>
    </w:p>
    <w:p>
      <w:pPr>
        <w:spacing w:after="80"/>
      </w:pPr>
      <w:r>
        <w:rPr>
          <w:sz w:val="20"/>
        </w:rPr>
      </w:r>
      <w:r>
        <w:rPr>
          <w:b/>
          <w:sz w:val="20"/>
        </w:rPr>
        <w:t>Rekomendacja:</w:t>
      </w:r>
      <w:r>
        <w:rPr>
          <w:sz w:val="20"/>
        </w:rPr>
        <w:t>Deweloper powinien sprawdzić push DataLayer na stronie potwierdzenia zamówienia (thank-you page) — czy ecommerce.items[] jest poprawnie wypełnione z cenami i ilościami.</w:t>
      </w:r>
    </w:p>
    <w:p>
      <w:pPr>
        <w:spacing w:after="80"/>
      </w:pPr>
    </w:p>
    <w:p>
      <w:pPr>
        <w:spacing w:before="120" w:after="80"/>
      </w:pPr>
      <w:r>
        <w:rPr>
          <w:b/>
          <w:color w:val="0F3D66"/>
          <w:sz w:val="22"/>
        </w:rPr>
        <w:t>1.11 Remarketing Google Ads</w:t>
      </w:r>
    </w:p>
    <w:p>
      <w:pPr>
        <w:spacing w:after="80"/>
      </w:pPr>
      <w:r>
        <w:rPr>
          <w:sz w:val="20"/>
        </w:rPr>
      </w:r>
      <w:r>
        <w:rPr>
          <w:b/>
          <w:sz w:val="20"/>
        </w:rPr>
        <w:t>Priorytet:</w:t>
      </w:r>
      <w:r>
        <w:rPr>
          <w:sz w:val="20"/>
        </w:rPr>
        <w:t>Średni |</w:t>
      </w:r>
      <w:r>
        <w:rPr>
          <w:b/>
          <w:sz w:val="20"/>
        </w:rPr>
        <w:t>Wynik:</w:t>
      </w:r>
      <w:r>
        <w:rPr>
          <w:sz w:val="20"/>
        </w:rPr>
        <w:t>⚠️ 1/2 pkt</w:t>
      </w:r>
    </w:p>
    <w:p>
      <w:pPr>
        <w:spacing w:after="80"/>
      </w:pPr>
      <w:r>
        <w:rPr>
          <w:sz w:val="20"/>
        </w:rPr>
        <w:t>Kampanie Display (3 996 sesji) i PMax (Cross-network: 125 604 sesji) są aktywne, co sugeruje działający remarketing. Weryfikacja wymaga dostępu do DevTools lub Google Ads Panel.</w:t>
      </w:r>
    </w:p>
    <w:p>
      <w:pPr>
        <w:spacing w:after="80"/>
      </w:pPr>
    </w:p>
    <w:p>
      <w:pPr>
        <w:spacing w:before="200" w:after="80"/>
      </w:pPr>
      <w:r>
        <w:rPr>
          <w:b/>
          <w:color w:val="16213E"/>
          <w:sz w:val="26"/>
        </w:rPr>
        <w:t>SEKCJA 2 — ePrivacy i Consent Mode</w:t>
      </w:r>
    </w:p>
    <w:p>
      <w:pPr>
        <w:spacing w:after="80"/>
      </w:pPr>
      <w:r>
        <w:rPr>
          <w:sz w:val="20"/>
        </w:rPr>
        <w:t>ePrivacy to nie tylko kwestia prawna (RODO) — to bezpośredni wpływ na jakość danych analitycznych. Consent Mode v2 od Google pozwala na modelowanie konwersji użytkowników, którzy odmówili cookies. Bez poprawnej implementacji tracisz zarówno dane, jak i możliwości optymalizacji kampanii. Z 1 maja 2024 Consent Mode v2 jest wymagany dla działania funkcji Smart Bidding w Google Ads.</w:t>
      </w:r>
    </w:p>
    <w:p>
      <w:pPr>
        <w:spacing w:after="80"/>
      </w:pPr>
      <w:r>
        <w:rPr>
          <w:sz w:val="20"/>
        </w:rPr>
      </w:r>
      <w:r>
        <w:rPr>
          <w:b/>
          <w:sz w:val="20"/>
        </w:rPr>
        <w:t>Wynik sekcji: 0/45 pkt (0%) — ❌ Krytyczny</w:t>
      </w:r>
      <w:r>
        <w:rPr>
          <w:sz w:val="20"/>
        </w:rPr>
      </w:r>
    </w:p>
    <w:p>
      <w:pPr>
        <w:spacing w:after="80"/>
      </w:pPr>
      <w:r>
        <w:rPr>
          <w:sz w:val="20"/>
        </w:rPr>
        <w:t>(Ocena oparta na pośrednich wskaźnikach z GA4. Pełna weryfikacja wymaga testów w przeglądarce z DevTools.)</w:t>
      </w:r>
    </w:p>
    <w:p>
      <w:pPr>
        <w:spacing w:after="80"/>
      </w:pPr>
    </w:p>
    <w:p>
      <w:pPr>
        <w:spacing w:before="120" w:after="80"/>
      </w:pPr>
      <w:r>
        <w:rPr>
          <w:b/>
          <w:color w:val="0F3D66"/>
          <w:sz w:val="22"/>
        </w:rPr>
        <w:t>2.4 Blokowanie cookies po odmowie</w:t>
      </w:r>
    </w:p>
    <w:p>
      <w:pPr>
        <w:spacing w:after="80"/>
      </w:pPr>
      <w:r>
        <w:rPr>
          <w:sz w:val="20"/>
        </w:rPr>
      </w:r>
      <w:r>
        <w:rPr>
          <w:b/>
          <w:sz w:val="20"/>
        </w:rPr>
        <w:t>Priorytet:</w:t>
      </w:r>
      <w:r>
        <w:rPr>
          <w:sz w:val="20"/>
        </w:rPr>
        <w:t>Wysoki |</w:t>
      </w:r>
      <w:r>
        <w:rPr>
          <w:b/>
          <w:sz w:val="20"/>
        </w:rPr>
        <w:t>Wynik:</w:t>
      </w:r>
      <w:r>
        <w:rPr>
          <w:sz w:val="20"/>
        </w:rPr>
        <w:t>❌ 0/3 pkt</w:t>
      </w:r>
    </w:p>
    <w:p>
      <w:pPr>
        <w:spacing w:after="80"/>
      </w:pPr>
      <w:r>
        <w:rPr>
          <w:sz w:val="20"/>
        </w:rPr>
        <w:t>Wskaźnik pośredni: 8 057 sesji (2.52%) przypisanych jako (not set)/(not set) sugeruje niekompletną implementację Consent Mode. Prawidłowa implementacja powinna generować anonimowe pingi do GA4 (modelowane dane), a nie pełne sesje (not set). Fakt, że te sesje pojawiają się w raportach, wskazuje na możliwe wycieki danych przy odmowie zgody.</w:t>
      </w:r>
    </w:p>
    <w:p>
      <w:pPr>
        <w:spacing w:after="80"/>
      </w:pPr>
      <w:r>
        <w:rPr>
          <w:sz w:val="20"/>
        </w:rPr>
        <w:t>29 transakcji (7.0% wszystkich) pochodzi z (not set) — łączna wartość to ~34 954 PLN/miesiąc bez atrybukcji.</w:t>
      </w:r>
    </w:p>
    <w:p>
      <w:pPr>
        <w:spacing w:after="80"/>
      </w:pPr>
    </w:p>
    <w:p>
      <w:pPr>
        <w:spacing w:before="120" w:after="80"/>
      </w:pPr>
      <w:r>
        <w:rPr>
          <w:b/>
          <w:color w:val="0F3D66"/>
          <w:sz w:val="22"/>
        </w:rPr>
        <w:t>2.17 url_passthrough</w:t>
      </w:r>
    </w:p>
    <w:p>
      <w:pPr>
        <w:spacing w:after="80"/>
      </w:pPr>
      <w:r>
        <w:rPr>
          <w:sz w:val="20"/>
        </w:rPr>
      </w:r>
      <w:r>
        <w:rPr>
          <w:b/>
          <w:sz w:val="20"/>
        </w:rPr>
        <w:t>Priorytet:</w:t>
      </w:r>
      <w:r>
        <w:rPr>
          <w:sz w:val="20"/>
        </w:rPr>
        <w:t>Wysoki |</w:t>
      </w:r>
      <w:r>
        <w:rPr>
          <w:b/>
          <w:sz w:val="20"/>
        </w:rPr>
        <w:t>Wynik:</w:t>
      </w:r>
      <w:r>
        <w:rPr>
          <w:sz w:val="20"/>
        </w:rPr>
        <w:t>❌ 0/3 pkt</w:t>
      </w:r>
    </w:p>
    <w:p>
      <w:pPr>
        <w:spacing w:after="80"/>
      </w:pPr>
      <w:r>
        <w:rPr>
          <w:sz w:val="20"/>
        </w:rPr>
        <w:t>url_passthrough to parametr GA4, który pozwala na przekazanie informacji o kampanii przez URL nawet gdy użytkownik odmówił cookies. Bez tego parametru każdy użytkownik, który odmówił zgody, a kliknął reklamę Google Ads, traci atrybuję do tej kampanii.</w:t>
      </w:r>
    </w:p>
    <w:p>
      <w:pPr>
        <w:spacing w:after="80"/>
      </w:pPr>
      <w:r>
        <w:rPr>
          <w:sz w:val="20"/>
        </w:rPr>
        <w:t>Z poprzedniego audytu (04-03-2026): url_passthrough nie było skonfigurowane. Problem nadal istnieje. Szacowany wpływ: ~29 transakcji/miesiąc (7% z 413) bez prawidłowej atrybuacji =</w:t>
      </w:r>
      <w:r>
        <w:rPr>
          <w:b/>
          <w:sz w:val="20"/>
        </w:rPr>
        <w:t>~36 192 PLN/miesiąc bez atrybuacji</w:t>
      </w:r>
      <w:r>
        <w:rPr>
          <w:sz w:val="20"/>
        </w:rPr>
        <w:t>.</w:t>
      </w:r>
    </w:p>
    <w:p>
      <w:pPr>
        <w:spacing w:after="80"/>
      </w:pPr>
      <w:r>
        <w:rPr>
          <w:sz w:val="20"/>
        </w:rPr>
      </w:r>
      <w:r>
        <w:rPr>
          <w:b/>
          <w:sz w:val="20"/>
        </w:rPr>
        <w:t>Rekomendacja:</w:t>
      </w:r>
      <w:r>
        <w:rPr>
          <w:sz w:val="20"/>
        </w:rPr>
        <w:t>W GTM → Tag GA4 Configuration → Pola konfiguracji → dodać: klucz url_passthrough, wartość true.</w:t>
      </w:r>
    </w:p>
    <w:p>
      <w:pPr>
        <w:spacing w:after="80"/>
      </w:pPr>
    </w:p>
    <w:p>
      <w:pPr>
        <w:spacing w:before="120" w:after="80"/>
      </w:pPr>
      <w:r>
        <w:rPr>
          <w:b/>
          <w:color w:val="0F3D66"/>
          <w:sz w:val="22"/>
        </w:rPr>
        <w:t>Ogólna ocena Consent Mode</w:t>
      </w:r>
    </w:p>
    <w:p>
      <w:pPr>
        <w:spacing w:after="80"/>
      </w:pPr>
      <w:r>
        <w:rPr>
          <w:sz w:val="20"/>
        </w:rPr>
        <w:t>Cookiebot jest wdrożony i baner prawdopodobnie wyświetla się użytkownikom. Jednak integracja z GTM wymaga weryfikacji:</w:t>
      </w:r>
    </w:p>
    <w:p>
      <w:pPr>
        <w:pStyle w:val="ListBullet"/>
        <w:spacing w:after="40"/>
        <w:ind w:left="283"/>
      </w:pPr>
      <w:r>
        <w:rPr>
          <w:sz w:val="20"/>
        </w:rPr>
        <w:t>Czy tag Cookiebot ładuje się w trybie "Consent Initialization" (przed GTM) czy "All Pages" (zbyt późno)?</w:t>
      </w:r>
    </w:p>
    <w:p>
      <w:pPr>
        <w:pStyle w:val="ListBullet"/>
        <w:spacing w:after="40"/>
        <w:ind w:left="283"/>
      </w:pPr>
      <w:r>
        <w:rPr>
          <w:sz w:val="20"/>
        </w:rPr>
        <w:t>Czy w GTM każdy tag analityczny ma ustawione wymagania consent (analytics_storage)?</w:t>
      </w:r>
    </w:p>
    <w:p>
      <w:pPr>
        <w:pStyle w:val="ListBullet"/>
        <w:spacing w:after="40"/>
        <w:ind w:left="283"/>
      </w:pPr>
      <w:r>
        <w:rPr>
          <w:sz w:val="20"/>
        </w:rPr>
        <w:t>Czy w GTM każdy tag reklamowy ma ustawione wymagania (ad_storage, ad_user_data, ad_personalization)?</w:t>
      </w:r>
    </w:p>
    <w:p>
      <w:pPr>
        <w:spacing w:after="80"/>
      </w:pPr>
      <w:r>
        <w:rPr>
          <w:sz w:val="20"/>
        </w:rPr>
      </w:r>
      <w:r>
        <w:rPr>
          <w:b/>
          <w:sz w:val="20"/>
        </w:rPr>
        <w:t>Rekomendacja:</w:t>
      </w:r>
      <w:r>
        <w:rPr>
          <w:sz w:val="20"/>
        </w:rPr>
        <w:t>Przeprowadzić test w trybie incognito z DevTools: załadować stronę → odmówić zgody → sprawdzić Network, czy pojawia się request do google-analytics.com/g/collect lub cookies _ga, _gid.</w:t>
      </w:r>
    </w:p>
    <w:p>
      <w:pPr>
        <w:spacing w:after="80"/>
      </w:pPr>
    </w:p>
    <w:p>
      <w:pPr>
        <w:spacing w:before="200" w:after="80"/>
      </w:pPr>
      <w:r>
        <w:rPr>
          <w:b/>
          <w:color w:val="16213E"/>
          <w:sz w:val="26"/>
        </w:rPr>
        <w:t>SEKCJA 3 — Konfiguracja GTM i GA4</w:t>
      </w:r>
    </w:p>
    <w:p>
      <w:pPr>
        <w:spacing w:after="80"/>
      </w:pPr>
      <w:r>
        <w:rPr>
          <w:sz w:val="20"/>
        </w:rPr>
        <w:t>Konfiguracja to "silnik" całej analityki. GTM (Google Tag Manager) to system zarządzania tagami — jedno miejsce, z którego zarządzamy wszystkimi narzędziami śledzącymi. GA4 to platforma analityczna Google. Ich prawidłowa konfiguracja jest warunkiem koniecznym dla wiarygodności wszystkich danych.</w:t>
      </w:r>
    </w:p>
    <w:p>
      <w:pPr>
        <w:spacing w:after="80"/>
      </w:pPr>
      <w:r>
        <w:rPr>
          <w:sz w:val="20"/>
        </w:rPr>
      </w:r>
      <w:r>
        <w:rPr>
          <w:b/>
          <w:sz w:val="20"/>
        </w:rPr>
        <w:t>Wynik sekcji: 20/93 pkt (22%) — ❌ Krytyczny</w:t>
      </w:r>
      <w:r>
        <w:rPr>
          <w:sz w:val="20"/>
        </w:rPr>
      </w:r>
    </w:p>
    <w:p>
      <w:pPr>
        <w:spacing w:after="80"/>
      </w:pPr>
    </w:p>
    <w:p>
      <w:pPr>
        <w:spacing w:before="120" w:after="80"/>
      </w:pPr>
      <w:r>
        <w:rPr>
          <w:b/>
          <w:color w:val="0F3D66"/>
          <w:sz w:val="22"/>
        </w:rPr>
        <w:t>3A.1 Podwójne wdrożenie GA4</w:t>
      </w:r>
    </w:p>
    <w:p>
      <w:pPr>
        <w:spacing w:after="80"/>
      </w:pPr>
      <w:r>
        <w:rPr>
          <w:sz w:val="20"/>
        </w:rPr>
      </w:r>
      <w:r>
        <w:rPr>
          <w:b/>
          <w:sz w:val="20"/>
        </w:rPr>
        <w:t>Priorytet:</w:t>
      </w:r>
      <w:r>
        <w:rPr>
          <w:sz w:val="20"/>
        </w:rPr>
        <w:t>Wysoki |</w:t>
      </w:r>
      <w:r>
        <w:rPr>
          <w:b/>
          <w:sz w:val="20"/>
        </w:rPr>
        <w:t>Wynik:</w:t>
      </w:r>
      <w:r>
        <w:rPr>
          <w:sz w:val="20"/>
        </w:rPr>
        <w:t>❌ 0/3 pkt</w:t>
      </w:r>
    </w:p>
    <w:p>
      <w:pPr>
        <w:spacing w:after="80"/>
      </w:pPr>
      <w:r>
        <w:rPr>
          <w:sz w:val="20"/>
        </w:rPr>
        <w:t>To najpoważniejszy problem techniczny całej instalacji. Platforma Shoper posiada wbudowaną integrację z Google Analytics, która automatycznie dodaje kod śledzący bezpośrednio do HTML strony. Jednocześnie GTM-MDGSP8 zawiera własny tag GA4 Configuration.</w:t>
      </w:r>
    </w:p>
    <w:p>
      <w:pPr>
        <w:spacing w:after="80"/>
      </w:pPr>
      <w:r>
        <w:rPr>
          <w:sz w:val="20"/>
        </w:rPr>
        <w:t>Skutki:</w:t>
      </w:r>
    </w:p>
    <w:p>
      <w:pPr>
        <w:pStyle w:val="ListNumber"/>
        <w:spacing w:after="40"/>
        <w:ind w:left="283"/>
      </w:pPr>
      <w:r>
        <w:rPr>
          <w:sz w:val="20"/>
        </w:rPr>
        <w:t>Każde zdarzenie (page_view, add_to_cart, purchase) rejestruje się dwukrotnie lub więcej</w:t>
      </w:r>
    </w:p>
    <w:p>
      <w:pPr>
        <w:pStyle w:val="ListNumber"/>
        <w:spacing w:after="40"/>
        <w:ind w:left="283"/>
      </w:pPr>
      <w:r>
        <w:rPr>
          <w:sz w:val="20"/>
        </w:rPr>
        <w:t>Ratio ecommercePurchases:transactions =</w:t>
      </w:r>
      <w:r>
        <w:rPr>
          <w:b/>
          <w:sz w:val="20"/>
        </w:rPr>
        <w:t>3.83×</w:t>
      </w:r>
      <w:r>
        <w:rPr>
          <w:sz w:val="20"/>
        </w:rPr>
        <w:t>— matematyczny dowód duplikacji</w:t>
      </w:r>
    </w:p>
    <w:p>
      <w:pPr>
        <w:pStyle w:val="ListNumber"/>
        <w:spacing w:after="40"/>
        <w:ind w:left="283"/>
      </w:pPr>
      <w:r>
        <w:rPr>
          <w:sz w:val="20"/>
        </w:rPr>
        <w:t>Kampanie Google Ads "widzą" 3.83× więcej konwersji niż faktycznie ma miejsce</w:t>
      </w:r>
    </w:p>
    <w:p>
      <w:pPr>
        <w:pStyle w:val="ListNumber"/>
        <w:spacing w:after="40"/>
        <w:ind w:left="283"/>
      </w:pPr>
      <w:r>
        <w:rPr>
          <w:sz w:val="20"/>
        </w:rPr>
        <w:t>Smart Bidding optymalizuje się na fałszywych sygnałach konwersji</w:t>
      </w:r>
    </w:p>
    <w:p>
      <w:pPr>
        <w:spacing w:after="80"/>
      </w:pPr>
      <w:r>
        <w:rPr>
          <w:sz w:val="20"/>
        </w:rPr>
      </w:r>
      <w:r>
        <w:rPr>
          <w:b/>
          <w:sz w:val="20"/>
        </w:rPr>
        <w:t>Rekomendacja:</w:t>
      </w:r>
      <w:r>
        <w:rPr>
          <w:sz w:val="20"/>
        </w:rPr>
        <w:t>Krok 1 — W panelu Shoper: Ustawienia → Integracje → Google Analytics → wyłączyć wbudowaną integrację. Krok 2 — Sprawdzić w GTM Preview czy po wyłączeniu pojawia się jeden tag GA4 per zdarzenie.</w:t>
      </w:r>
    </w:p>
    <w:p>
      <w:pPr>
        <w:spacing w:after="80"/>
      </w:pPr>
    </w:p>
    <w:p>
      <w:pPr>
        <w:spacing w:before="120" w:after="80"/>
      </w:pPr>
      <w:r>
        <w:rPr>
          <w:b/>
          <w:color w:val="0F3D66"/>
          <w:sz w:val="22"/>
        </w:rPr>
        <w:t>3C.3 Waluta</w:t>
      </w:r>
    </w:p>
    <w:p>
      <w:pPr>
        <w:spacing w:after="80"/>
      </w:pPr>
      <w:r>
        <w:rPr>
          <w:sz w:val="20"/>
        </w:rPr>
      </w:r>
      <w:r>
        <w:rPr>
          <w:b/>
          <w:sz w:val="20"/>
        </w:rPr>
        <w:t>Priorytet:</w:t>
      </w:r>
      <w:r>
        <w:rPr>
          <w:sz w:val="20"/>
        </w:rPr>
        <w:t>Średni |</w:t>
      </w:r>
      <w:r>
        <w:rPr>
          <w:b/>
          <w:sz w:val="20"/>
        </w:rPr>
        <w:t>Wynik:</w:t>
      </w:r>
      <w:r>
        <w:rPr>
          <w:sz w:val="20"/>
        </w:rPr>
        <w:t>✅ 2/2 pkt</w:t>
      </w:r>
    </w:p>
    <w:p>
      <w:pPr>
        <w:spacing w:after="80"/>
      </w:pPr>
      <w:r>
        <w:rPr>
          <w:sz w:val="20"/>
        </w:rPr>
        <w:t>Waluta PLN ustawiona poprawnie. Przychody w GA4 spójne z PLN (515 556 PLN/30d, AOV 1 248 PLN).</w:t>
      </w:r>
    </w:p>
    <w:p>
      <w:pPr>
        <w:spacing w:after="80"/>
      </w:pPr>
    </w:p>
    <w:p>
      <w:pPr>
        <w:spacing w:before="120" w:after="80"/>
      </w:pPr>
      <w:r>
        <w:rPr>
          <w:b/>
          <w:color w:val="0F3D66"/>
          <w:sz w:val="22"/>
        </w:rPr>
        <w:t>3C.4 Google Signals</w:t>
      </w:r>
    </w:p>
    <w:p>
      <w:pPr>
        <w:spacing w:after="80"/>
      </w:pPr>
      <w:r>
        <w:rPr>
          <w:sz w:val="20"/>
        </w:rPr>
      </w:r>
      <w:r>
        <w:rPr>
          <w:b/>
          <w:sz w:val="20"/>
        </w:rPr>
        <w:t>Priorytet:</w:t>
      </w:r>
      <w:r>
        <w:rPr>
          <w:sz w:val="20"/>
        </w:rPr>
        <w:t>Wysoki |</w:t>
      </w:r>
      <w:r>
        <w:rPr>
          <w:b/>
          <w:sz w:val="20"/>
        </w:rPr>
        <w:t>Wynik:</w:t>
      </w:r>
      <w:r>
        <w:rPr>
          <w:sz w:val="20"/>
        </w:rPr>
        <w:t>✅ 3/3 pkt</w:t>
      </w:r>
    </w:p>
    <w:p>
      <w:pPr>
        <w:spacing w:after="80"/>
      </w:pPr>
      <w:r>
        <w:rPr>
          <w:sz w:val="20"/>
        </w:rPr>
        <w:t>Google Signals aktywne — umożliwia cross-device tracking i raporty demograficzne.</w:t>
      </w:r>
    </w:p>
    <w:p>
      <w:pPr>
        <w:spacing w:after="80"/>
      </w:pPr>
    </w:p>
    <w:p>
      <w:pPr>
        <w:spacing w:before="120" w:after="80"/>
      </w:pPr>
      <w:r>
        <w:rPr>
          <w:b/>
          <w:color w:val="0F3D66"/>
          <w:sz w:val="22"/>
        </w:rPr>
        <w:t>3C.8 Filtrowanie ruchu wewnętrznego</w:t>
      </w:r>
    </w:p>
    <w:p>
      <w:pPr>
        <w:spacing w:after="80"/>
      </w:pPr>
      <w:r>
        <w:rPr>
          <w:sz w:val="20"/>
        </w:rPr>
      </w:r>
      <w:r>
        <w:rPr>
          <w:b/>
          <w:sz w:val="20"/>
        </w:rPr>
        <w:t>Priorytet:</w:t>
      </w:r>
      <w:r>
        <w:rPr>
          <w:sz w:val="20"/>
        </w:rPr>
        <w:t>Wysoki |</w:t>
      </w:r>
      <w:r>
        <w:rPr>
          <w:b/>
          <w:sz w:val="20"/>
        </w:rPr>
        <w:t>Wynik:</w:t>
      </w:r>
      <w:r>
        <w:rPr>
          <w:sz w:val="20"/>
        </w:rPr>
        <w:t>❌ 0/3 pkt</w:t>
      </w:r>
    </w:p>
    <w:p>
      <w:pPr>
        <w:spacing w:after="80"/>
      </w:pPr>
      <w:r>
        <w:rPr>
          <w:sz w:val="20"/>
        </w:rPr>
        <w:t>W danych GA4 widoczne są sesje z wewnętrznych zasobów firmy Aryton:</w:t>
      </w:r>
    </w:p>
    <w:p>
      <w:pPr>
        <w:pStyle w:val="ListBullet"/>
        <w:spacing w:after="40"/>
        <w:ind w:left="283"/>
      </w:pPr>
      <w:r>
        <w:rPr>
          <w:sz w:val="20"/>
        </w:rPr>
        <w:t>dev18.arytondev.local/referral — 10 sesji (środowisko deweloperskie Aryton)</w:t>
      </w:r>
    </w:p>
    <w:p>
      <w:pPr>
        <w:pStyle w:val="ListBullet"/>
        <w:spacing w:after="40"/>
        <w:ind w:left="283"/>
      </w:pPr>
      <w:r>
        <w:rPr>
          <w:sz w:val="20"/>
        </w:rPr>
        <w:t>arytonpl.sharepoint.com/referral — 28 sesji (wewnętrzny SharePoint firmy)</w:t>
      </w:r>
    </w:p>
    <w:p>
      <w:pPr>
        <w:spacing w:after="80"/>
      </w:pPr>
      <w:r>
        <w:rPr>
          <w:sz w:val="20"/>
        </w:rPr>
        <w:t>Łącznie 38 sesji/miesiąc z wewnętrznych źródeł nie jest filtrowanych. Choć liczba jest mała, wskazuje na brak filtru IP lub hostname dla ruchu pracowniczego.</w:t>
      </w:r>
    </w:p>
    <w:p>
      <w:pPr>
        <w:spacing w:after="80"/>
      </w:pPr>
      <w:r>
        <w:rPr>
          <w:sz w:val="20"/>
        </w:rPr>
      </w:r>
      <w:r>
        <w:rPr>
          <w:b/>
          <w:sz w:val="20"/>
        </w:rPr>
        <w:t>Rekomendacja:</w:t>
      </w:r>
      <w:r>
        <w:rPr>
          <w:sz w:val="20"/>
        </w:rPr>
        <w:t>GA4 → Admin → Filtry danych → dodać filtr "Ruch wewnętrzny" dla hostname zawierającego arytondev.local oraz zakresu IP biura.</w:t>
      </w:r>
    </w:p>
    <w:p>
      <w:pPr>
        <w:spacing w:after="80"/>
      </w:pPr>
    </w:p>
    <w:p>
      <w:pPr>
        <w:spacing w:before="120" w:after="80"/>
      </w:pPr>
      <w:r>
        <w:rPr>
          <w:b/>
          <w:color w:val="0F3D66"/>
          <w:sz w:val="22"/>
        </w:rPr>
        <w:t>3C.10 Cross-domain tracking — Klarna</w:t>
      </w:r>
    </w:p>
    <w:p>
      <w:pPr>
        <w:spacing w:after="80"/>
      </w:pPr>
      <w:r>
        <w:rPr>
          <w:sz w:val="20"/>
        </w:rPr>
      </w:r>
      <w:r>
        <w:rPr>
          <w:b/>
          <w:sz w:val="20"/>
        </w:rPr>
        <w:t>Priorytet:</w:t>
      </w:r>
      <w:r>
        <w:rPr>
          <w:sz w:val="20"/>
        </w:rPr>
        <w:t>Wysoki |</w:t>
      </w:r>
      <w:r>
        <w:rPr>
          <w:b/>
          <w:sz w:val="20"/>
        </w:rPr>
        <w:t>Wynik:</w:t>
      </w:r>
      <w:r>
        <w:rPr>
          <w:sz w:val="20"/>
        </w:rPr>
        <w:t>❌ 0/3 pkt</w:t>
      </w:r>
    </w:p>
    <w:p>
      <w:pPr>
        <w:spacing w:after="80"/>
      </w:pPr>
      <w:r>
        <w:rPr>
          <w:sz w:val="20"/>
        </w:rPr>
        <w:t>klarna/referral — 71 sesji/miesiąc. Klarna to popularna usługa płatności odroczonej BNPL (Buy Now Pay Later). Gdy użytkownik klika "Kup teraz, zapłać później", przechodzi na stronę Klarna w celu autoryzacji. Po powrocie do sklepu GA4 traktuje go jako nową sesję z referral = klarna.</w:t>
      </w:r>
    </w:p>
    <w:p>
      <w:pPr>
        <w:spacing w:after="80"/>
      </w:pPr>
      <w:r>
        <w:rPr>
          <w:sz w:val="20"/>
        </w:rPr>
        <w:t>Konsekwencja: transakcje z Klanry są przypisywane do klarna/referral zamiast do oryginalnego kanału (np. google/cpc lub facebook/cpc). Zaburza to raportowanie efektywności kanałów reklamowych.</w:t>
      </w:r>
    </w:p>
    <w:p>
      <w:pPr>
        <w:spacing w:after="80"/>
      </w:pPr>
      <w:r>
        <w:rPr>
          <w:sz w:val="20"/>
        </w:rPr>
      </w:r>
      <w:r>
        <w:rPr>
          <w:b/>
          <w:sz w:val="20"/>
        </w:rPr>
        <w:t>Rekomendacja:</w:t>
      </w:r>
      <w:r>
        <w:rPr>
          <w:sz w:val="20"/>
        </w:rPr>
        <w:t>GA4 → Strumień danych → Konfigurowanie domen → Referral exclusion → dodać: klarna.com, checkout.klarna.com. Jeśli używane są inne bramki płatnicze — dodać je również.</w:t>
      </w:r>
    </w:p>
    <w:p>
      <w:pPr>
        <w:spacing w:after="80"/>
      </w:pPr>
    </w:p>
    <w:p>
      <w:pPr>
        <w:spacing w:before="120" w:after="80"/>
      </w:pPr>
      <w:r>
        <w:rPr>
          <w:b/>
          <w:color w:val="0F3D66"/>
          <w:sz w:val="22"/>
        </w:rPr>
        <w:t>3C.11 Ignorowanie zduplikowanych konfiguracji</w:t>
      </w:r>
    </w:p>
    <w:p>
      <w:pPr>
        <w:spacing w:after="80"/>
      </w:pPr>
      <w:r>
        <w:rPr>
          <w:sz w:val="20"/>
        </w:rPr>
      </w:r>
      <w:r>
        <w:rPr>
          <w:b/>
          <w:sz w:val="20"/>
        </w:rPr>
        <w:t>Priorytet:</w:t>
      </w:r>
      <w:r>
        <w:rPr>
          <w:sz w:val="20"/>
        </w:rPr>
        <w:t>Wysoki |</w:t>
      </w:r>
      <w:r>
        <w:rPr>
          <w:b/>
          <w:sz w:val="20"/>
        </w:rPr>
        <w:t>Wynik:</w:t>
      </w:r>
      <w:r>
        <w:rPr>
          <w:sz w:val="20"/>
        </w:rPr>
        <w:t>❌ 0/3 pkt</w:t>
      </w:r>
    </w:p>
    <w:p>
      <w:pPr>
        <w:spacing w:after="80"/>
      </w:pPr>
      <w:r>
        <w:rPr>
          <w:sz w:val="20"/>
        </w:rPr>
        <w:t>W GA4 istnieje ustawienie "Ignoruj zduplikowane konfiguracje tagów GA4", które powinno blokować duplikaty. Jednak samo włączenie tego ustawienia nie rozwiązuje problemu — jest to tylko ostatnia linia obrony. Konieczne jest wyłączenie hardcoded snippetu w Shoper.</w:t>
      </w:r>
    </w:p>
    <w:p>
      <w:pPr>
        <w:spacing w:after="80"/>
      </w:pPr>
    </w:p>
    <w:p>
      <w:pPr>
        <w:spacing w:before="120" w:after="80"/>
      </w:pPr>
      <w:r>
        <w:rPr>
          <w:b/>
          <w:color w:val="0F3D66"/>
          <w:sz w:val="22"/>
        </w:rPr>
        <w:t>3C.12–3C.13 Wykluczenia referral</w:t>
      </w:r>
    </w:p>
    <w:p>
      <w:pPr>
        <w:spacing w:after="80"/>
      </w:pPr>
      <w:r>
        <w:rPr>
          <w:sz w:val="20"/>
        </w:rPr>
      </w:r>
      <w:r>
        <w:rPr>
          <w:b/>
          <w:sz w:val="20"/>
        </w:rPr>
        <w:t>Priorytet:</w:t>
      </w:r>
      <w:r>
        <w:rPr>
          <w:sz w:val="20"/>
        </w:rPr>
        <w:t>Wysoki |</w:t>
      </w:r>
      <w:r>
        <w:rPr>
          <w:b/>
          <w:sz w:val="20"/>
        </w:rPr>
        <w:t>Wynik:</w:t>
      </w:r>
      <w:r>
        <w:rPr>
          <w:sz w:val="20"/>
        </w:rPr>
        <w:t>❌ 0/5 pkt</w:t>
      </w:r>
    </w:p>
    <w:p>
      <w:pPr>
        <w:spacing w:after="80"/>
      </w:pPr>
      <w:r>
        <w:rPr>
          <w:sz w:val="20"/>
        </w:rPr>
      </w:r>
      <w:r>
        <w:rPr>
          <w:b/>
          <w:sz w:val="20"/>
        </w:rPr>
        <w:t>Niezwykluczone bramki płatnicze:</w:t>
      </w:r>
      <w:r>
        <w:rPr>
          <w:sz w:val="20"/>
        </w:rPr>
        <w:t>Klarna (71 sesji)</w:t>
      </w:r>
    </w:p>
    <w:p>
      <w:pPr>
        <w:spacing w:after="80"/>
      </w:pPr>
      <w:r>
        <w:rPr>
          <w:sz w:val="20"/>
        </w:rPr>
      </w:r>
      <w:r>
        <w:rPr>
          <w:b/>
          <w:sz w:val="20"/>
        </w:rPr>
        <w:t>Niezwykluczone bramki pocztowe (webmaile):</w:t>
      </w:r>
      <w:r>
        <w:rPr>
          <w:sz w:val="20"/>
        </w:rPr>
      </w:r>
    </w:p>
    <w:p>
      <w:pPr>
        <w:pStyle w:val="ListBullet"/>
        <w:spacing w:after="40"/>
        <w:ind w:left="283"/>
      </w:pPr>
      <w:r>
        <w:rPr>
          <w:sz w:val="20"/>
        </w:rPr>
        <w:t>poczta.onet.pl — 198 sesji</w:t>
      </w:r>
    </w:p>
    <w:p>
      <w:pPr>
        <w:pStyle w:val="ListBullet"/>
        <w:spacing w:after="40"/>
        <w:ind w:left="283"/>
      </w:pPr>
      <w:r>
        <w:rPr>
          <w:sz w:val="20"/>
        </w:rPr>
        <w:t>poczta.interia.pl — 80 sesji</w:t>
      </w:r>
    </w:p>
    <w:p>
      <w:pPr>
        <w:pStyle w:val="ListBullet"/>
        <w:spacing w:after="40"/>
        <w:ind w:left="283"/>
      </w:pPr>
      <w:r>
        <w:rPr>
          <w:sz w:val="20"/>
        </w:rPr>
        <w:t>poczta.o2.pl — 76 sesji</w:t>
      </w:r>
    </w:p>
    <w:p>
      <w:pPr>
        <w:pStyle w:val="ListBullet"/>
        <w:spacing w:after="40"/>
        <w:ind w:left="283"/>
      </w:pPr>
      <w:r>
        <w:rPr>
          <w:sz w:val="20"/>
        </w:rPr>
        <w:t>poczta.wp.pl — 46 sesji, 1 transakcja (719 PLN)</w:t>
      </w:r>
    </w:p>
    <w:p>
      <w:pPr>
        <w:spacing w:after="80"/>
      </w:pPr>
      <w:r>
        <w:rPr>
          <w:sz w:val="20"/>
        </w:rPr>
        <w:t>Łącznie</w:t>
      </w:r>
      <w:r>
        <w:rPr>
          <w:b/>
          <w:sz w:val="20"/>
        </w:rPr>
        <w:t>400 sesji z webmaili</w:t>
      </w:r>
      <w:r>
        <w:rPr>
          <w:sz w:val="20"/>
        </w:rPr>
        <w:t>pojawia się jako referral zamiast być prawidłowo przypisanych do kanału email. 719 PLN przychodu jest błędnie przypisane do poczta.wp.pl/referral zamiast do email/edrone.</w:t>
      </w:r>
    </w:p>
    <w:p>
      <w:pPr>
        <w:spacing w:after="80"/>
      </w:pPr>
      <w:r>
        <w:rPr>
          <w:sz w:val="20"/>
        </w:rPr>
      </w:r>
      <w:r>
        <w:rPr>
          <w:b/>
          <w:sz w:val="20"/>
        </w:rPr>
        <w:t>Rekomendacja:</w:t>
      </w:r>
      <w:r>
        <w:rPr>
          <w:sz w:val="20"/>
        </w:rPr>
        <w:t>GA4 → Strumień → Referral exclusion → dodać: klarna.com, wp.pl, onet.pl, o2.pl, interia.pl.</w:t>
      </w:r>
    </w:p>
    <w:p>
      <w:pPr>
        <w:spacing w:after="80"/>
      </w:pPr>
    </w:p>
    <w:p>
      <w:pPr>
        <w:spacing w:before="120" w:after="80"/>
      </w:pPr>
      <w:r>
        <w:rPr>
          <w:b/>
          <w:color w:val="0F3D66"/>
          <w:sz w:val="22"/>
        </w:rPr>
        <w:t>3C.17 Model atrybucji</w:t>
      </w:r>
    </w:p>
    <w:p>
      <w:pPr>
        <w:spacing w:after="80"/>
      </w:pPr>
      <w:r>
        <w:rPr>
          <w:sz w:val="20"/>
        </w:rPr>
      </w:r>
      <w:r>
        <w:rPr>
          <w:b/>
          <w:sz w:val="20"/>
        </w:rPr>
        <w:t>Priorytet:</w:t>
      </w:r>
      <w:r>
        <w:rPr>
          <w:sz w:val="20"/>
        </w:rPr>
        <w:t>Średni |</w:t>
      </w:r>
      <w:r>
        <w:rPr>
          <w:b/>
          <w:sz w:val="20"/>
        </w:rPr>
        <w:t>Wynik:</w:t>
      </w:r>
      <w:r>
        <w:rPr>
          <w:sz w:val="20"/>
        </w:rPr>
        <w:t>✅ 2/2 pkt</w:t>
      </w:r>
    </w:p>
    <w:p>
      <w:pPr>
        <w:spacing w:after="80"/>
      </w:pPr>
      <w:r>
        <w:rPr>
          <w:sz w:val="20"/>
        </w:rPr>
        <w:t>Data-Driven Attribution (DDA) aktywny. To najlepsza opcja dla e-commerce — model uczący się na rzeczywistych ścieżkach konwersji.</w:t>
      </w:r>
    </w:p>
    <w:p>
      <w:pPr>
        <w:spacing w:after="80"/>
      </w:pPr>
    </w:p>
    <w:p>
      <w:pPr>
        <w:spacing w:before="120" w:after="80"/>
      </w:pPr>
      <w:r>
        <w:rPr>
          <w:b/>
          <w:color w:val="0F3D66"/>
          <w:sz w:val="22"/>
        </w:rPr>
        <w:t>3C.18 Połączenie Google Ads</w:t>
      </w:r>
    </w:p>
    <w:p>
      <w:pPr>
        <w:spacing w:after="80"/>
      </w:pPr>
      <w:r>
        <w:rPr>
          <w:sz w:val="20"/>
        </w:rPr>
      </w:r>
      <w:r>
        <w:rPr>
          <w:b/>
          <w:sz w:val="20"/>
        </w:rPr>
        <w:t>Priorytet:</w:t>
      </w:r>
      <w:r>
        <w:rPr>
          <w:sz w:val="20"/>
        </w:rPr>
        <w:t>Wysoki |</w:t>
      </w:r>
      <w:r>
        <w:rPr>
          <w:b/>
          <w:sz w:val="20"/>
        </w:rPr>
        <w:t>Wynik:</w:t>
      </w:r>
      <w:r>
        <w:rPr>
          <w:sz w:val="20"/>
        </w:rPr>
        <w:t>✅ 3/3 pkt</w:t>
      </w:r>
    </w:p>
    <w:p>
      <w:pPr>
        <w:spacing w:after="80"/>
      </w:pPr>
      <w:r>
        <w:rPr>
          <w:sz w:val="20"/>
        </w:rPr>
        <w:t>Połączenie GA4 ↔ Google Ads aktywne. Reklamy spersonalizowane włączone.</w:t>
      </w:r>
    </w:p>
    <w:p>
      <w:pPr>
        <w:spacing w:after="80"/>
      </w:pPr>
    </w:p>
    <w:p>
      <w:pPr>
        <w:spacing w:before="120" w:after="80"/>
      </w:pPr>
      <w:r>
        <w:rPr>
          <w:b/>
          <w:color w:val="0F3D66"/>
          <w:sz w:val="22"/>
        </w:rPr>
        <w:t>3C.19 BigQuery</w:t>
      </w:r>
    </w:p>
    <w:p>
      <w:pPr>
        <w:spacing w:after="80"/>
      </w:pPr>
      <w:r>
        <w:rPr>
          <w:sz w:val="20"/>
        </w:rPr>
      </w:r>
      <w:r>
        <w:rPr>
          <w:b/>
          <w:sz w:val="20"/>
        </w:rPr>
        <w:t>Priorytet:</w:t>
      </w:r>
      <w:r>
        <w:rPr>
          <w:sz w:val="20"/>
        </w:rPr>
        <w:t>Wysoki |</w:t>
      </w:r>
      <w:r>
        <w:rPr>
          <w:b/>
          <w:sz w:val="20"/>
        </w:rPr>
        <w:t>Wynik:</w:t>
      </w:r>
      <w:r>
        <w:rPr>
          <w:sz w:val="20"/>
        </w:rPr>
        <w:t>✅ 3/3 pkt</w:t>
      </w:r>
    </w:p>
    <w:p>
      <w:pPr>
        <w:spacing w:after="80"/>
      </w:pPr>
      <w:r>
        <w:rPr>
          <w:sz w:val="20"/>
        </w:rPr>
        <w:t>Dataset dane-z-ga4-aryton-pl aktywny. Eksport działa.</w:t>
      </w:r>
    </w:p>
    <w:p>
      <w:pPr>
        <w:spacing w:after="80"/>
      </w:pPr>
    </w:p>
    <w:p>
      <w:pPr>
        <w:spacing w:before="200" w:after="80"/>
      </w:pPr>
      <w:r>
        <w:rPr>
          <w:b/>
          <w:color w:val="16213E"/>
          <w:sz w:val="26"/>
        </w:rPr>
        <w:t>SEKCJA 4 — Jakość danych</w:t>
      </w:r>
    </w:p>
    <w:p>
      <w:pPr>
        <w:spacing w:after="80"/>
      </w:pPr>
      <w:r>
        <w:rPr>
          <w:sz w:val="20"/>
        </w:rPr>
        <w:t>Jakość danych to odpowiedź na pytanie "Czy danym w Google Analytics można zaufać?". Nawet najlepiej skonfigurowany system może zbierać złe dane jeśli parametry kampanii są niespójne, transakcje zduplikowane, lub ruch wewnętrzny firmy nie jest odfiltrowany. Sekcja ta sprawdza, czy dane są kompletne, spójne i wolne od zanieczyszczeń.</w:t>
      </w:r>
    </w:p>
    <w:p>
      <w:pPr>
        <w:spacing w:after="80"/>
      </w:pPr>
      <w:r>
        <w:rPr>
          <w:sz w:val="20"/>
        </w:rPr>
      </w:r>
      <w:r>
        <w:rPr>
          <w:b/>
          <w:sz w:val="20"/>
        </w:rPr>
        <w:t>Wynik sekcji: 40/75 pkt (53%) — ⚠️ Wymaga poprawy</w:t>
      </w:r>
      <w:r>
        <w:rPr>
          <w:sz w:val="20"/>
        </w:rPr>
      </w:r>
    </w:p>
    <w:p>
      <w:pPr>
        <w:spacing w:after="80"/>
      </w:pPr>
    </w:p>
    <w:p>
      <w:pPr>
        <w:spacing w:before="120" w:after="80"/>
      </w:pPr>
      <w:r>
        <w:rPr>
          <w:b/>
          <w:color w:val="0F3D66"/>
          <w:sz w:val="22"/>
        </w:rPr>
        <w:t>4D.1 Duplikacja purchase event — KRYTYCZNE</w:t>
      </w:r>
    </w:p>
    <w:p>
      <w:pPr>
        <w:spacing w:after="80"/>
      </w:pPr>
      <w:r>
        <w:rPr>
          <w:sz w:val="20"/>
        </w:rPr>
      </w:r>
      <w:r>
        <w:rPr>
          <w:b/>
          <w:sz w:val="20"/>
        </w:rPr>
        <w:t>Priorytet:</w:t>
      </w:r>
      <w:r>
        <w:rPr>
          <w:sz w:val="20"/>
        </w:rPr>
        <w:t>Wysoki |</w:t>
      </w:r>
      <w:r>
        <w:rPr>
          <w:b/>
          <w:sz w:val="20"/>
        </w:rPr>
        <w:t>Wynik:</w:t>
      </w:r>
      <w:r>
        <w:rPr>
          <w:sz w:val="20"/>
        </w:rPr>
        <w:t>❌ 0/3 pkt</w:t>
      </w:r>
    </w:p>
    <w:p>
      <w:pPr>
        <w:spacing w:after="80"/>
      </w:pPr>
      <w:r>
        <w:rPr>
          <w:sz w:val="20"/>
        </w:rPr>
        <w:t>Metryki z 30 dni:</w:t>
      </w:r>
    </w:p>
    <w:p>
      <w:pPr>
        <w:pStyle w:val="ListBullet"/>
        <w:spacing w:after="40"/>
        <w:ind w:left="283"/>
      </w:pPr>
      <w:r>
        <w:rPr>
          <w:sz w:val="20"/>
        </w:rPr>
        <w:t>ecommercePurchases (raw eventy purchase):</w:t>
      </w:r>
      <w:r>
        <w:rPr>
          <w:b/>
          <w:sz w:val="20"/>
        </w:rPr>
        <w:t>1 582</w:t>
      </w:r>
      <w:r>
        <w:rPr>
          <w:sz w:val="20"/>
        </w:rPr>
      </w:r>
    </w:p>
    <w:p>
      <w:pPr>
        <w:pStyle w:val="ListBullet"/>
        <w:spacing w:after="40"/>
        <w:ind w:left="283"/>
      </w:pPr>
      <w:r>
        <w:rPr>
          <w:sz w:val="20"/>
        </w:rPr>
        <w:t>transactions (deduplikowane po transaction_id):</w:t>
      </w:r>
      <w:r>
        <w:rPr>
          <w:b/>
          <w:sz w:val="20"/>
        </w:rPr>
        <w:t>413</w:t>
      </w:r>
      <w:r>
        <w:rPr>
          <w:sz w:val="20"/>
        </w:rPr>
      </w:r>
    </w:p>
    <w:p>
      <w:pPr>
        <w:pStyle w:val="ListBullet"/>
        <w:spacing w:after="40"/>
        <w:ind w:left="283"/>
      </w:pPr>
      <w:r>
        <w:rPr>
          <w:sz w:val="20"/>
        </w:rPr>
      </w:r>
      <w:r>
        <w:rPr>
          <w:b/>
          <w:sz w:val="20"/>
        </w:rPr>
        <w:t>Ratio: 3.83×</w:t>
      </w:r>
      <w:r>
        <w:rPr>
          <w:sz w:val="20"/>
        </w:rPr>
      </w:r>
    </w:p>
    <w:p>
      <w:pPr>
        <w:spacing w:after="80"/>
      </w:pPr>
      <w:r>
        <w:rPr>
          <w:sz w:val="20"/>
        </w:rPr>
        <w:t>Interpretacja: jeden zakup generuje średnio 3.83 zdarzenia purchase. GA4 jest wystarczająco mądry, żeby deduplikować transakcje po transaction_id — dlatego metryka transactions = 413 jest prawdopodobnie bliska prawdy. Jednak metryka ecommercePurchases = 1 582 jest bezużyteczna i misleadingowa.</w:t>
      </w:r>
    </w:p>
    <w:p>
      <w:pPr>
        <w:spacing w:after="80"/>
      </w:pPr>
      <w:r>
        <w:rPr>
          <w:sz w:val="20"/>
        </w:rPr>
        <w:t>Problem istnieje od minimum 04-03-2026 (poprzedni audyt: ratio 3.53×). W ciągu 4 dni ratio wzrósł z 3.53× do 3.83× — problem pogłębia się, nie poprawia.</w:t>
      </w:r>
    </w:p>
    <w:p>
      <w:pPr>
        <w:spacing w:after="80"/>
      </w:pPr>
    </w:p>
    <w:p>
      <w:pPr>
        <w:spacing w:before="120" w:after="80"/>
      </w:pPr>
      <w:r>
        <w:rPr>
          <w:b/>
          <w:color w:val="0F3D66"/>
          <w:sz w:val="22"/>
        </w:rPr>
        <w:t>4A.9 Fragmentacja Meta/Facebook — 7 wariantów</w:t>
      </w:r>
    </w:p>
    <w:p>
      <w:pPr>
        <w:spacing w:after="80"/>
      </w:pPr>
      <w:r>
        <w:rPr>
          <w:sz w:val="20"/>
        </w:rPr>
      </w:r>
      <w:r>
        <w:rPr>
          <w:b/>
          <w:sz w:val="20"/>
        </w:rPr>
        <w:t>Priorytet:</w:t>
      </w:r>
      <w:r>
        <w:rPr>
          <w:sz w:val="20"/>
        </w:rPr>
        <w:t>Średni |</w:t>
      </w:r>
      <w:r>
        <w:rPr>
          <w:b/>
          <w:sz w:val="20"/>
        </w:rPr>
        <w:t>Wynik:</w:t>
      </w:r>
      <w:r>
        <w:rPr>
          <w:sz w:val="20"/>
        </w:rPr>
        <w:t>❌ 0/2 pkt</w:t>
      </w:r>
    </w:p>
    <w:p>
      <w:pPr>
        <w:spacing w:after="80"/>
      </w:pPr>
      <w:r>
        <w:rPr>
          <w:sz w:val="20"/>
        </w:rPr>
        <w:t>Ruch z kampanii i profili Meta pojawia się w GA4 pod 7 różnymi wariantami source: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1a2e"/>
          </w:tcPr>
          <w:p>
            <w:pPr>
              <w:spacing w:before="40" w:after="40"/>
            </w:pPr>
            <w:r>
              <w:rPr>
                <w:b/>
                <w:color w:val="FFFFFF"/>
                <w:sz w:val="17"/>
              </w:rPr>
              <w:t>Źródło</w:t>
            </w:r>
          </w:p>
        </w:tc>
        <w:tc>
          <w:tcPr>
            <w:tcW w:type="dxa" w:w="1881"/>
            <w:shd w:val="clear" w:color="auto" w:fill="1a1a2e"/>
          </w:tcPr>
          <w:p>
            <w:pPr>
              <w:spacing w:before="40" w:after="40"/>
            </w:pPr>
            <w:r>
              <w:rPr>
                <w:b/>
                <w:color w:val="FFFFFF"/>
                <w:sz w:val="17"/>
              </w:rPr>
              <w:t>Medium</w:t>
            </w:r>
          </w:p>
        </w:tc>
        <w:tc>
          <w:tcPr>
            <w:tcW w:type="dxa" w:w="1881"/>
            <w:shd w:val="clear" w:color="auto" w:fill="1a1a2e"/>
          </w:tcPr>
          <w:p>
            <w:pPr>
              <w:spacing w:before="40" w:after="40"/>
            </w:pPr>
            <w:r>
              <w:rPr>
                <w:b/>
                <w:color w:val="FFFFFF"/>
                <w:sz w:val="17"/>
              </w:rPr>
              <w:t>Sesje</w:t>
            </w:r>
          </w:p>
        </w:tc>
        <w:tc>
          <w:tcPr>
            <w:tcW w:type="dxa" w:w="1881"/>
            <w:shd w:val="clear" w:color="auto" w:fill="1a1a2e"/>
          </w:tcPr>
          <w:p>
            <w:pPr>
              <w:spacing w:before="40" w:after="40"/>
            </w:pPr>
            <w:r>
              <w:rPr>
                <w:b/>
                <w:color w:val="FFFFFF"/>
                <w:sz w:val="17"/>
              </w:rPr>
              <w:t>Transakcje</w:t>
            </w:r>
          </w:p>
        </w:tc>
        <w:tc>
          <w:tcPr>
            <w:tcW w:type="dxa" w:w="1881"/>
            <w:shd w:val="clear" w:color="auto" w:fill="1a1a2e"/>
          </w:tcPr>
          <w:p>
            <w:pPr>
              <w:spacing w:before="40" w:after="40"/>
            </w:pPr>
            <w:r>
              <w:rPr>
                <w:b/>
                <w:color w:val="FFFFFF"/>
                <w:sz w:val="17"/>
              </w:rPr>
              <w:t>Przychód</w:t>
            </w:r>
          </w:p>
        </w:tc>
      </w:tr>
      <w:tr>
        <w:tc>
          <w:tcPr>
            <w:tcW w:type="dxa" w:w="1881"/>
          </w:tcPr>
          <w:p>
            <w:pPr>
              <w:spacing w:before="40" w:after="40"/>
            </w:pPr>
            <w:r>
              <w:rPr>
                <w:sz w:val="17"/>
              </w:rPr>
              <w:t>facebook</w:t>
            </w:r>
          </w:p>
        </w:tc>
        <w:tc>
          <w:tcPr>
            <w:tcW w:type="dxa" w:w="1881"/>
          </w:tcPr>
          <w:p>
            <w:pPr>
              <w:spacing w:before="40" w:after="40"/>
            </w:pPr>
            <w:r>
              <w:rPr>
                <w:sz w:val="17"/>
              </w:rPr>
              <w:t>cpc</w:t>
            </w:r>
          </w:p>
        </w:tc>
        <w:tc>
          <w:tcPr>
            <w:tcW w:type="dxa" w:w="1881"/>
          </w:tcPr>
          <w:p>
            <w:pPr>
              <w:spacing w:before="40" w:after="40"/>
            </w:pPr>
            <w:r>
              <w:rPr>
                <w:sz w:val="17"/>
              </w:rPr>
              <w:t>57 699</w:t>
            </w:r>
          </w:p>
        </w:tc>
        <w:tc>
          <w:tcPr>
            <w:tcW w:type="dxa" w:w="1881"/>
          </w:tcPr>
          <w:p>
            <w:pPr>
              <w:spacing w:before="40" w:after="40"/>
            </w:pPr>
            <w:r>
              <w:rPr>
                <w:sz w:val="17"/>
              </w:rPr>
              <w:t>25</w:t>
            </w:r>
          </w:p>
        </w:tc>
        <w:tc>
          <w:tcPr>
            <w:tcW w:type="dxa" w:w="1881"/>
          </w:tcPr>
          <w:p>
            <w:pPr>
              <w:spacing w:before="40" w:after="40"/>
            </w:pPr>
            <w:r>
              <w:rPr>
                <w:sz w:val="17"/>
              </w:rPr>
              <w:t>34 433 PLN</w:t>
            </w:r>
          </w:p>
        </w:tc>
      </w:tr>
      <w:tr>
        <w:tc>
          <w:tcPr>
            <w:tcW w:type="dxa" w:w="1881"/>
          </w:tcPr>
          <w:p>
            <w:pPr>
              <w:spacing w:before="40" w:after="40"/>
            </w:pPr>
            <w:r>
              <w:rPr>
                <w:sz w:val="17"/>
              </w:rPr>
              <w:t>m.facebook.com</w:t>
            </w:r>
          </w:p>
        </w:tc>
        <w:tc>
          <w:tcPr>
            <w:tcW w:type="dxa" w:w="1881"/>
          </w:tcPr>
          <w:p>
            <w:pPr>
              <w:spacing w:before="40" w:after="40"/>
            </w:pPr>
            <w:r>
              <w:rPr>
                <w:sz w:val="17"/>
              </w:rPr>
              <w:t>referral</w:t>
            </w:r>
          </w:p>
        </w:tc>
        <w:tc>
          <w:tcPr>
            <w:tcW w:type="dxa" w:w="1881"/>
          </w:tcPr>
          <w:p>
            <w:pPr>
              <w:spacing w:before="40" w:after="40"/>
            </w:pPr>
            <w:r>
              <w:rPr>
                <w:sz w:val="17"/>
              </w:rPr>
              <w:t>1 722</w:t>
            </w:r>
          </w:p>
        </w:tc>
        <w:tc>
          <w:tcPr>
            <w:tcW w:type="dxa" w:w="1881"/>
          </w:tcPr>
          <w:p>
            <w:pPr>
              <w:spacing w:before="40" w:after="40"/>
            </w:pPr>
            <w:r>
              <w:rPr>
                <w:sz w:val="17"/>
              </w:rPr>
              <w:t>5</w:t>
            </w:r>
          </w:p>
        </w:tc>
        <w:tc>
          <w:tcPr>
            <w:tcW w:type="dxa" w:w="1881"/>
          </w:tcPr>
          <w:p>
            <w:pPr>
              <w:spacing w:before="40" w:after="40"/>
            </w:pPr>
            <w:r>
              <w:rPr>
                <w:sz w:val="17"/>
              </w:rPr>
              <w:t>4 220 PLN</w:t>
            </w:r>
          </w:p>
        </w:tc>
      </w:tr>
      <w:tr>
        <w:tc>
          <w:tcPr>
            <w:tcW w:type="dxa" w:w="1881"/>
          </w:tcPr>
          <w:p>
            <w:pPr>
              <w:spacing w:before="40" w:after="40"/>
            </w:pPr>
            <w:r>
              <w:rPr>
                <w:sz w:val="17"/>
              </w:rPr>
              <w:t>l.instagram.com</w:t>
            </w:r>
          </w:p>
        </w:tc>
        <w:tc>
          <w:tcPr>
            <w:tcW w:type="dxa" w:w="1881"/>
          </w:tcPr>
          <w:p>
            <w:pPr>
              <w:spacing w:before="40" w:after="40"/>
            </w:pPr>
            <w:r>
              <w:rPr>
                <w:sz w:val="17"/>
              </w:rPr>
              <w:t>referral</w:t>
            </w:r>
          </w:p>
        </w:tc>
        <w:tc>
          <w:tcPr>
            <w:tcW w:type="dxa" w:w="1881"/>
          </w:tcPr>
          <w:p>
            <w:pPr>
              <w:spacing w:before="40" w:after="40"/>
            </w:pPr>
            <w:r>
              <w:rPr>
                <w:sz w:val="17"/>
              </w:rPr>
              <w:t>1 645</w:t>
            </w:r>
          </w:p>
        </w:tc>
        <w:tc>
          <w:tcPr>
            <w:tcW w:type="dxa" w:w="1881"/>
          </w:tcPr>
          <w:p>
            <w:pPr>
              <w:spacing w:before="40" w:after="40"/>
            </w:pPr>
            <w:r>
              <w:rPr>
                <w:sz w:val="17"/>
              </w:rPr>
              <w:t>1</w:t>
            </w:r>
          </w:p>
        </w:tc>
        <w:tc>
          <w:tcPr>
            <w:tcW w:type="dxa" w:w="1881"/>
          </w:tcPr>
          <w:p>
            <w:pPr>
              <w:spacing w:before="40" w:after="40"/>
            </w:pPr>
            <w:r>
              <w:rPr>
                <w:sz w:val="17"/>
              </w:rPr>
              <w:t>1 198 PLN</w:t>
            </w:r>
          </w:p>
        </w:tc>
      </w:tr>
      <w:tr>
        <w:tc>
          <w:tcPr>
            <w:tcW w:type="dxa" w:w="1881"/>
          </w:tcPr>
          <w:p>
            <w:pPr>
              <w:spacing w:before="40" w:after="40"/>
            </w:pPr>
            <w:r>
              <w:rPr>
                <w:sz w:val="17"/>
              </w:rPr>
              <w:t>l.facebook.com</w:t>
            </w:r>
          </w:p>
        </w:tc>
        <w:tc>
          <w:tcPr>
            <w:tcW w:type="dxa" w:w="1881"/>
          </w:tcPr>
          <w:p>
            <w:pPr>
              <w:spacing w:before="40" w:after="40"/>
            </w:pPr>
            <w:r>
              <w:rPr>
                <w:sz w:val="17"/>
              </w:rPr>
              <w:t>referral</w:t>
            </w:r>
          </w:p>
        </w:tc>
        <w:tc>
          <w:tcPr>
            <w:tcW w:type="dxa" w:w="1881"/>
          </w:tcPr>
          <w:p>
            <w:pPr>
              <w:spacing w:before="40" w:after="40"/>
            </w:pPr>
            <w:r>
              <w:rPr>
                <w:sz w:val="17"/>
              </w:rPr>
              <w:t>690</w:t>
            </w:r>
          </w:p>
        </w:tc>
        <w:tc>
          <w:tcPr>
            <w:tcW w:type="dxa" w:w="1881"/>
          </w:tcPr>
          <w:p>
            <w:pPr>
              <w:spacing w:before="40" w:after="40"/>
            </w:pPr>
            <w:r>
              <w:rPr>
                <w:sz w:val="17"/>
              </w:rPr>
              <w:t>0</w:t>
            </w:r>
          </w:p>
        </w:tc>
        <w:tc>
          <w:tcPr>
            <w:tcW w:type="dxa" w:w="1881"/>
          </w:tcPr>
          <w:p>
            <w:pPr>
              <w:spacing w:before="40" w:after="40"/>
            </w:pPr>
            <w:r>
              <w:rPr>
                <w:sz w:val="17"/>
              </w:rPr>
              <w:t>0 PLN</w:t>
            </w:r>
          </w:p>
        </w:tc>
      </w:tr>
      <w:tr>
        <w:tc>
          <w:tcPr>
            <w:tcW w:type="dxa" w:w="1881"/>
          </w:tcPr>
          <w:p>
            <w:pPr>
              <w:spacing w:before="40" w:after="40"/>
            </w:pPr>
            <w:r>
              <w:rPr>
                <w:sz w:val="17"/>
              </w:rPr>
              <w:t>lm.facebook.com</w:t>
            </w:r>
          </w:p>
        </w:tc>
        <w:tc>
          <w:tcPr>
            <w:tcW w:type="dxa" w:w="1881"/>
          </w:tcPr>
          <w:p>
            <w:pPr>
              <w:spacing w:before="40" w:after="40"/>
            </w:pPr>
            <w:r>
              <w:rPr>
                <w:sz w:val="17"/>
              </w:rPr>
              <w:t>referral</w:t>
            </w:r>
          </w:p>
        </w:tc>
        <w:tc>
          <w:tcPr>
            <w:tcW w:type="dxa" w:w="1881"/>
          </w:tcPr>
          <w:p>
            <w:pPr>
              <w:spacing w:before="40" w:after="40"/>
            </w:pPr>
            <w:r>
              <w:rPr>
                <w:sz w:val="17"/>
              </w:rPr>
              <w:t>381</w:t>
            </w:r>
          </w:p>
        </w:tc>
        <w:tc>
          <w:tcPr>
            <w:tcW w:type="dxa" w:w="1881"/>
          </w:tcPr>
          <w:p>
            <w:pPr>
              <w:spacing w:before="40" w:after="40"/>
            </w:pPr>
            <w:r>
              <w:rPr>
                <w:sz w:val="17"/>
              </w:rPr>
              <w:t>0</w:t>
            </w:r>
          </w:p>
        </w:tc>
        <w:tc>
          <w:tcPr>
            <w:tcW w:type="dxa" w:w="1881"/>
          </w:tcPr>
          <w:p>
            <w:pPr>
              <w:spacing w:before="40" w:after="40"/>
            </w:pPr>
            <w:r>
              <w:rPr>
                <w:sz w:val="17"/>
              </w:rPr>
              <w:t>0 PLN</w:t>
            </w:r>
          </w:p>
        </w:tc>
      </w:tr>
      <w:tr>
        <w:tc>
          <w:tcPr>
            <w:tcW w:type="dxa" w:w="1881"/>
          </w:tcPr>
          <w:p>
            <w:pPr>
              <w:spacing w:before="40" w:after="40"/>
            </w:pPr>
            <w:r>
              <w:rPr>
                <w:sz w:val="17"/>
              </w:rPr>
              <w:t>facebook</w:t>
            </w:r>
          </w:p>
        </w:tc>
        <w:tc>
          <w:tcPr>
            <w:tcW w:type="dxa" w:w="1881"/>
          </w:tcPr>
          <w:p>
            <w:pPr>
              <w:spacing w:before="40" w:after="40"/>
            </w:pPr>
            <w:r>
              <w:rPr>
                <w:sz w:val="17"/>
              </w:rPr>
              <w:t>referral</w:t>
            </w:r>
          </w:p>
        </w:tc>
        <w:tc>
          <w:tcPr>
            <w:tcW w:type="dxa" w:w="1881"/>
          </w:tcPr>
          <w:p>
            <w:pPr>
              <w:spacing w:before="40" w:after="40"/>
            </w:pPr>
            <w:r>
              <w:rPr>
                <w:sz w:val="17"/>
              </w:rPr>
              <w:t>363</w:t>
            </w:r>
          </w:p>
        </w:tc>
        <w:tc>
          <w:tcPr>
            <w:tcW w:type="dxa" w:w="1881"/>
          </w:tcPr>
          <w:p>
            <w:pPr>
              <w:spacing w:before="40" w:after="40"/>
            </w:pPr>
            <w:r>
              <w:rPr>
                <w:sz w:val="17"/>
              </w:rPr>
              <w:t>3</w:t>
            </w:r>
          </w:p>
        </w:tc>
        <w:tc>
          <w:tcPr>
            <w:tcW w:type="dxa" w:w="1881"/>
          </w:tcPr>
          <w:p>
            <w:pPr>
              <w:spacing w:before="40" w:after="40"/>
            </w:pPr>
            <w:r>
              <w:rPr>
                <w:sz w:val="17"/>
              </w:rPr>
              <w:t>1 737 PLN</w:t>
            </w:r>
          </w:p>
        </w:tc>
      </w:tr>
      <w:tr>
        <w:tc>
          <w:tcPr>
            <w:tcW w:type="dxa" w:w="1881"/>
          </w:tcPr>
          <w:p>
            <w:pPr>
              <w:spacing w:before="40" w:after="40"/>
            </w:pPr>
            <w:r>
              <w:rPr>
                <w:sz w:val="17"/>
              </w:rPr>
              <w:t>facebook.com</w:t>
            </w:r>
          </w:p>
        </w:tc>
        <w:tc>
          <w:tcPr>
            <w:tcW w:type="dxa" w:w="1881"/>
          </w:tcPr>
          <w:p>
            <w:pPr>
              <w:spacing w:before="40" w:after="40"/>
            </w:pPr>
            <w:r>
              <w:rPr>
                <w:sz w:val="17"/>
              </w:rPr>
              <w:t>referral</w:t>
            </w:r>
          </w:p>
        </w:tc>
        <w:tc>
          <w:tcPr>
            <w:tcW w:type="dxa" w:w="1881"/>
          </w:tcPr>
          <w:p>
            <w:pPr>
              <w:spacing w:before="40" w:after="40"/>
            </w:pPr>
            <w:r>
              <w:rPr>
                <w:sz w:val="17"/>
              </w:rPr>
              <w:t>86</w:t>
            </w:r>
          </w:p>
        </w:tc>
        <w:tc>
          <w:tcPr>
            <w:tcW w:type="dxa" w:w="1881"/>
          </w:tcPr>
          <w:p>
            <w:pPr>
              <w:spacing w:before="40" w:after="40"/>
            </w:pPr>
            <w:r>
              <w:rPr>
                <w:sz w:val="17"/>
              </w:rPr>
              <w:t>0</w:t>
            </w:r>
          </w:p>
        </w:tc>
        <w:tc>
          <w:tcPr>
            <w:tcW w:type="dxa" w:w="1881"/>
          </w:tcPr>
          <w:p>
            <w:pPr>
              <w:spacing w:before="40" w:after="40"/>
            </w:pPr>
            <w:r>
              <w:rPr>
                <w:sz w:val="17"/>
              </w:rPr>
              <w:t>0 PLN</w:t>
            </w:r>
          </w:p>
        </w:tc>
      </w:tr>
      <w:tr>
        <w:tc>
          <w:tcPr>
            <w:tcW w:type="dxa" w:w="1881"/>
          </w:tcPr>
          <w:p>
            <w:pPr>
              <w:spacing w:before="40" w:after="40"/>
            </w:pPr>
            <w:r>
              <w:rPr>
                <w:sz w:val="17"/>
              </w:rPr>
              <w:t>Łącznie Meta</w:t>
            </w:r>
          </w:p>
        </w:tc>
        <w:tc>
          <w:tcPr>
            <w:tcW w:type="dxa" w:w="1881"/>
          </w:tcPr>
          <w:p>
            <w:pPr>
              <w:spacing w:before="40" w:after="40"/>
            </w:pPr>
            <w:r>
              <w:rPr>
                <w:sz w:val="17"/>
              </w:rPr>
            </w:r>
          </w:p>
        </w:tc>
        <w:tc>
          <w:tcPr>
            <w:tcW w:type="dxa" w:w="1881"/>
          </w:tcPr>
          <w:p>
            <w:pPr>
              <w:spacing w:before="40" w:after="40"/>
            </w:pPr>
            <w:r>
              <w:rPr>
                <w:sz w:val="17"/>
              </w:rPr>
              <w:t>62 586</w:t>
            </w:r>
          </w:p>
        </w:tc>
        <w:tc>
          <w:tcPr>
            <w:tcW w:type="dxa" w:w="1881"/>
          </w:tcPr>
          <w:p>
            <w:pPr>
              <w:spacing w:before="40" w:after="40"/>
            </w:pPr>
            <w:r>
              <w:rPr>
                <w:sz w:val="17"/>
              </w:rPr>
              <w:t>34</w:t>
            </w:r>
          </w:p>
        </w:tc>
        <w:tc>
          <w:tcPr>
            <w:tcW w:type="dxa" w:w="1881"/>
          </w:tcPr>
          <w:p>
            <w:pPr>
              <w:spacing w:before="40" w:after="40"/>
            </w:pPr>
            <w:r>
              <w:rPr>
                <w:sz w:val="17"/>
              </w:rPr>
              <w:t>41 588 PLN</w:t>
            </w:r>
          </w:p>
        </w:tc>
      </w:tr>
    </w:tbl>
    <w:p/>
    <w:p>
      <w:pPr>
        <w:spacing w:after="80"/>
      </w:pPr>
      <w:r>
        <w:rPr>
          <w:sz w:val="20"/>
        </w:rPr>
        <w:t>Porównując tylko facebook/cpc: 25 transakcji (34 433 PLN) vs faktyczna wartość Meta: 34 transakcje (41 588 PLN). ROAS Meta zaniżony o ~20%.</w:t>
      </w:r>
    </w:p>
    <w:p>
      <w:pPr>
        <w:spacing w:after="80"/>
      </w:pPr>
      <w:r>
        <w:rPr>
          <w:sz w:val="20"/>
        </w:rPr>
        <w:t>Przyczyna fragmentacji: linki w kampaniach płatnych mają UTM (facebook/cpc), ale linki w postach organicznych, stories i innych formatach nie mają UTM — więc GA4 rozpoznaje oryginalny host (m.facebook.com, l.instagram.com itd.).</w:t>
      </w:r>
    </w:p>
    <w:p>
      <w:pPr>
        <w:spacing w:after="80"/>
      </w:pPr>
      <w:r>
        <w:rPr>
          <w:sz w:val="20"/>
        </w:rPr>
      </w:r>
      <w:r>
        <w:rPr>
          <w:b/>
          <w:sz w:val="20"/>
        </w:rPr>
        <w:t>Rekomendacja:</w:t>
      </w:r>
      <w:r>
        <w:rPr>
          <w:sz w:val="20"/>
        </w:rPr>
        <w:t>Oznaczyć UTM wszystkie linki organiczne na Facebooku i Instagramie (source=instagram/facebook, medium=social, campaign=nazwa_kampanii).</w:t>
      </w:r>
    </w:p>
    <w:p>
      <w:pPr>
        <w:spacing w:after="80"/>
      </w:pPr>
    </w:p>
    <w:p>
      <w:pPr>
        <w:spacing w:before="120" w:after="80"/>
      </w:pPr>
      <w:r>
        <w:rPr>
          <w:b/>
          <w:color w:val="0F3D66"/>
          <w:sz w:val="22"/>
        </w:rPr>
        <w:t>4D.3 Malformed UTM source</w:t>
      </w:r>
    </w:p>
    <w:p>
      <w:pPr>
        <w:spacing w:after="80"/>
      </w:pPr>
      <w:r>
        <w:rPr>
          <w:sz w:val="20"/>
        </w:rPr>
      </w:r>
      <w:r>
        <w:rPr>
          <w:b/>
          <w:sz w:val="20"/>
        </w:rPr>
        <w:t>Priorytet:</w:t>
      </w:r>
      <w:r>
        <w:rPr>
          <w:sz w:val="20"/>
        </w:rPr>
        <w:t>Wysoki |</w:t>
      </w:r>
      <w:r>
        <w:rPr>
          <w:b/>
          <w:sz w:val="20"/>
        </w:rPr>
        <w:t>Wynik:</w:t>
      </w:r>
      <w:r>
        <w:rPr>
          <w:sz w:val="20"/>
        </w:rPr>
        <w:t>❌ 0/3 pkt</w:t>
      </w:r>
    </w:p>
    <w:p>
      <w:pPr>
        <w:spacing w:after="80"/>
      </w:pPr>
      <w:r>
        <w:rPr>
          <w:sz w:val="20"/>
        </w:rPr>
        <w:t>Wykryto sesje, gdzie cały URL Google Ads jest zapisany jako sessionSource:</w:t>
      </w:r>
    </w:p>
    <w:p>
      <w:pPr>
        <w:ind w:left="567"/>
      </w:pPr>
      <w:r>
        <w:rPr>
          <w:rFonts w:ascii="Courier New" w:hAnsi="Courier New"/>
          <w:color w:val="333333"/>
          <w:sz w:val="16"/>
        </w:rPr>
        <w:t>google&amp;utm_medium=cpc&amp;utm_campaign=SEA_|_Brand_|_Aryton&amp;utm_id=19091733253</w:t>
      </w:r>
    </w:p>
    <w:p>
      <w:pPr>
        <w:ind w:left="567"/>
      </w:pPr>
      <w:r>
        <w:rPr>
          <w:rFonts w:ascii="Courier New" w:hAnsi="Courier New"/>
          <w:color w:val="333333"/>
          <w:sz w:val="16"/>
        </w:rPr>
        <w:t>&amp;utm_term=kurtka patrizia aryton&amp;utm_content=638313710563&amp;gad_source=1</w:t>
      </w:r>
    </w:p>
    <w:p>
      <w:pPr>
        <w:ind w:left="567"/>
      </w:pPr>
      <w:r>
        <w:rPr>
          <w:rFonts w:ascii="Courier New" w:hAnsi="Courier New"/>
          <w:color w:val="333333"/>
          <w:sz w:val="16"/>
        </w:rPr>
        <w:t>&amp;gad_campaignid=19091733253&amp;gclid=Cj0KCQiAyvHLBhDlARIsAH...</w:t>
      </w:r>
    </w:p>
    <w:p>
      <w:pPr>
        <w:spacing w:after="80"/>
      </w:pPr>
      <w:r>
        <w:rPr>
          <w:sz w:val="20"/>
        </w:rPr>
        <w:t>Oznacza to, że niektóre linki Google Ads mają nieprawidłowo skonstruowany URL: zamiast ?utm_source=google&amp;utm_medium=cpc&amp;... parametry UTM są doklejone bezpośrednio do domeny bez separatora ?. Dotyczy kampanii brandowych SEA_|_Brand_|_Aryton.</w:t>
      </w:r>
    </w:p>
    <w:p>
      <w:pPr>
        <w:spacing w:after="80"/>
      </w:pPr>
      <w:r>
        <w:rPr>
          <w:sz w:val="20"/>
        </w:rPr>
      </w:r>
      <w:r>
        <w:rPr>
          <w:b/>
          <w:sz w:val="20"/>
        </w:rPr>
        <w:t>Rekomendacja:</w:t>
      </w:r>
      <w:r>
        <w:rPr>
          <w:sz w:val="20"/>
        </w:rPr>
        <w:t>W Google Ads → kampania Brand → URL templates → sprawdzić i poprawić szablon URL na: {lpurl}?utm_source=google&amp;utm_medium=cpc&amp;utm_campaign={campaignid}.</w:t>
      </w:r>
    </w:p>
    <w:p>
      <w:pPr>
        <w:spacing w:after="80"/>
      </w:pPr>
    </w:p>
    <w:p>
      <w:pPr>
        <w:spacing w:before="120" w:after="80"/>
      </w:pPr>
      <w:r>
        <w:rPr>
          <w:b/>
          <w:color w:val="0F3D66"/>
          <w:sz w:val="22"/>
        </w:rPr>
        <w:t>4E.5 Lejek e-commerce — anomalie</w:t>
      </w:r>
    </w:p>
    <w:p>
      <w:pPr>
        <w:spacing w:after="80"/>
      </w:pPr>
      <w:r>
        <w:rPr>
          <w:sz w:val="20"/>
        </w:rPr>
      </w:r>
      <w:r>
        <w:rPr>
          <w:b/>
          <w:sz w:val="20"/>
        </w:rPr>
        <w:t>Priorytet:</w:t>
      </w:r>
      <w:r>
        <w:rPr>
          <w:sz w:val="20"/>
        </w:rPr>
        <w:t>Wysoki |</w:t>
      </w:r>
      <w:r>
        <w:rPr>
          <w:b/>
          <w:sz w:val="20"/>
        </w:rPr>
        <w:t>Wynik:</w:t>
      </w:r>
      <w:r>
        <w:rPr>
          <w:sz w:val="20"/>
        </w:rPr>
        <w:t>❌ 0/3 pkt</w:t>
      </w:r>
    </w:p>
    <w:p>
      <w:pPr>
        <w:spacing w:after="80"/>
      </w:pPr>
      <w:r>
        <w:rPr>
          <w:sz w:val="20"/>
        </w:rPr>
        <w:t>Prawidłowy lejek zakupowy powinien wyglądać tak: view_item &gt; add_to_cart &gt; begin_checkout &gt; add_shipping_info &gt; add_payment_info &gt; purchase. Każdy kolejny krok powinien mieć mniejszą liczbę eventów niż poprzedni.</w:t>
      </w:r>
    </w:p>
    <w:p>
      <w:pPr>
        <w:spacing w:after="80"/>
      </w:pPr>
      <w:r>
        <w:rPr>
          <w:sz w:val="20"/>
        </w:rPr>
        <w:t>Aktualny stan (eventy z 30d):</w:t>
      </w:r>
    </w:p>
    <w:p>
      <w:pPr>
        <w:ind w:left="567"/>
      </w:pPr>
      <w:r>
        <w:rPr>
          <w:rFonts w:ascii="Courier New" w:hAnsi="Courier New"/>
          <w:color w:val="333333"/>
          <w:sz w:val="16"/>
        </w:rPr>
        <w:t>view_item:          590 185  ✅</w:t>
      </w:r>
    </w:p>
    <w:p>
      <w:pPr>
        <w:ind w:left="567"/>
      </w:pPr>
      <w:r>
        <w:rPr>
          <w:rFonts w:ascii="Courier New" w:hAnsi="Courier New"/>
          <w:color w:val="333333"/>
          <w:sz w:val="16"/>
        </w:rPr>
        <w:t>add_to_cart:         32 653  ✅ (5.5% z view_item)</w:t>
      </w:r>
    </w:p>
    <w:p>
      <w:pPr>
        <w:ind w:left="567"/>
      </w:pPr>
      <w:r>
        <w:rPr>
          <w:rFonts w:ascii="Courier New" w:hAnsi="Courier New"/>
          <w:color w:val="333333"/>
          <w:sz w:val="16"/>
        </w:rPr>
        <w:t>begin_checkout:       1 296  ❌ (3.97% z add_to_cart — bardzo nisko)</w:t>
      </w:r>
    </w:p>
    <w:p>
      <w:pPr>
        <w:ind w:left="567"/>
      </w:pPr>
      <w:r>
        <w:rPr>
          <w:rFonts w:ascii="Courier New" w:hAnsi="Courier New"/>
          <w:color w:val="333333"/>
          <w:sz w:val="16"/>
        </w:rPr>
        <w:t>add_shipping_info:    2 132  ❌ (&gt; begin_checkout — NIEMOŻLIWE)</w:t>
      </w:r>
    </w:p>
    <w:p>
      <w:pPr>
        <w:ind w:left="567"/>
      </w:pPr>
      <w:r>
        <w:rPr>
          <w:rFonts w:ascii="Courier New" w:hAnsi="Courier New"/>
          <w:color w:val="333333"/>
          <w:sz w:val="16"/>
        </w:rPr>
        <w:t>add_payment_info:       806  ✅ (ok względem begin_checkout)</w:t>
      </w:r>
    </w:p>
    <w:p>
      <w:pPr>
        <w:ind w:left="567"/>
      </w:pPr>
      <w:r>
        <w:rPr>
          <w:rFonts w:ascii="Courier New" w:hAnsi="Courier New"/>
          <w:color w:val="333333"/>
          <w:sz w:val="16"/>
        </w:rPr>
        <w:t>purchase:             1 582  ❌ (&gt; add_payment_info — zduplikowane)</w:t>
      </w:r>
    </w:p>
    <w:p>
      <w:pPr>
        <w:spacing w:after="80"/>
      </w:pPr>
      <w:r>
        <w:rPr>
          <w:sz w:val="20"/>
        </w:rPr>
        <w:t>Problem 1: begin_checkout (1 296) jest bardzo nisko w stosunku do add_to_cart (32 653) — tylko 3.97% dodających do koszyka przechodzi do checkout. Benchmark: 30–60%. To wskazuje albo na problem UX koszyka albo na brak triggera begin_checkout na pewnych ścieżkach.</w:t>
      </w:r>
    </w:p>
    <w:p>
      <w:pPr>
        <w:spacing w:after="80"/>
      </w:pPr>
      <w:r>
        <w:rPr>
          <w:sz w:val="20"/>
        </w:rPr>
        <w:t>Problem 2: add_shipping_info (2 132) &gt; begin_checkout (1 296) — matematycznie niemożliwe. Prawdopodobna przyczyna: trigger add_shipping_info odpala się na etapie wcześniejszym niż begin_checkout w procesie zakupu Shopera.</w:t>
      </w:r>
    </w:p>
    <w:p>
      <w:pPr>
        <w:spacing w:after="80"/>
      </w:pPr>
    </w:p>
    <w:p>
      <w:pPr>
        <w:spacing w:before="200" w:after="80"/>
      </w:pPr>
      <w:r>
        <w:rPr>
          <w:b/>
          <w:color w:val="16213E"/>
          <w:sz w:val="26"/>
        </w:rPr>
        <w:t>SEKCJA 5 — UTM — Oznaczenia kampanii</w:t>
      </w:r>
    </w:p>
    <w:p>
      <w:pPr>
        <w:spacing w:after="80"/>
      </w:pPr>
      <w:r>
        <w:rPr>
          <w:sz w:val="20"/>
        </w:rPr>
        <w:t>UTM (Urchin Tracking Module) to parametry dodawane do URL linków w kampaniach reklamowych, emailach i mediach społecznościowych. Dzięki nim Google Analytics wie, skąd przyszedł użytkownik — z jakiej kampanii, z jakich reklamy, z jakiego medium. Bez UTM kampanie płatne mogą być widoczne jako "direct" lub "organic" — co sprawia, że nie można ocenić ich efektywności.</w:t>
      </w:r>
    </w:p>
    <w:p>
      <w:pPr>
        <w:spacing w:after="80"/>
      </w:pPr>
      <w:r>
        <w:rPr>
          <w:sz w:val="20"/>
        </w:rPr>
      </w:r>
      <w:r>
        <w:rPr>
          <w:b/>
          <w:sz w:val="20"/>
        </w:rPr>
        <w:t>Wynik sekcji: 9/18 pkt (50%) — ⚠️ Wymaga poprawy</w:t>
      </w:r>
      <w:r>
        <w:rPr>
          <w:sz w:val="20"/>
        </w:rPr>
      </w:r>
    </w:p>
    <w:p>
      <w:pPr>
        <w:spacing w:after="80"/>
      </w:pPr>
    </w:p>
    <w:p>
      <w:pPr>
        <w:spacing w:before="120" w:after="80"/>
      </w:pPr>
      <w:r>
        <w:rPr>
          <w:b/>
          <w:color w:val="0F3D66"/>
          <w:sz w:val="22"/>
        </w:rPr>
        <w:t>5.2 Google Ads — UTM</w:t>
      </w:r>
    </w:p>
    <w:p>
      <w:pPr>
        <w:spacing w:after="80"/>
      </w:pPr>
      <w:r>
        <w:rPr>
          <w:sz w:val="20"/>
        </w:rPr>
      </w:r>
      <w:r>
        <w:rPr>
          <w:b/>
          <w:sz w:val="20"/>
        </w:rPr>
        <w:t>Priorytet:</w:t>
      </w:r>
      <w:r>
        <w:rPr>
          <w:sz w:val="20"/>
        </w:rPr>
        <w:t>Wysoki |</w:t>
      </w:r>
      <w:r>
        <w:rPr>
          <w:b/>
          <w:sz w:val="20"/>
        </w:rPr>
        <w:t>Wynik:</w:t>
      </w:r>
      <w:r>
        <w:rPr>
          <w:sz w:val="20"/>
        </w:rPr>
        <w:t>✅ 3/3 pkt</w:t>
      </w:r>
    </w:p>
    <w:p>
      <w:pPr>
        <w:spacing w:after="80"/>
      </w:pPr>
      <w:r>
        <w:rPr>
          <w:sz w:val="20"/>
        </w:rPr>
        <w:t>Google Ads jest prawidłowo tagowany — google/cpc widoczne z 132 384 sesjami. Automatyczne tagowanie Google (auto-tagging) działa poprawnie.</w:t>
      </w:r>
    </w:p>
    <w:p>
      <w:pPr>
        <w:spacing w:after="80"/>
      </w:pPr>
    </w:p>
    <w:p>
      <w:pPr>
        <w:spacing w:before="120" w:after="80"/>
      </w:pPr>
      <w:r>
        <w:rPr>
          <w:b/>
          <w:color w:val="0F3D66"/>
          <w:sz w:val="22"/>
        </w:rPr>
        <w:t>5.3 Google Ads — malformed UTM kampanii</w:t>
      </w:r>
    </w:p>
    <w:p>
      <w:pPr>
        <w:spacing w:after="80"/>
      </w:pPr>
      <w:r>
        <w:rPr>
          <w:sz w:val="20"/>
        </w:rPr>
      </w:r>
      <w:r>
        <w:rPr>
          <w:b/>
          <w:sz w:val="20"/>
        </w:rPr>
        <w:t>Priorytet:</w:t>
      </w:r>
      <w:r>
        <w:rPr>
          <w:sz w:val="20"/>
        </w:rPr>
        <w:t>Wysoki |</w:t>
      </w:r>
      <w:r>
        <w:rPr>
          <w:b/>
          <w:sz w:val="20"/>
        </w:rPr>
        <w:t>Wynik:</w:t>
      </w:r>
      <w:r>
        <w:rPr>
          <w:sz w:val="20"/>
        </w:rPr>
        <w:t>❌ 0/3 pkt</w:t>
      </w:r>
    </w:p>
    <w:p>
      <w:pPr>
        <w:spacing w:after="80"/>
      </w:pPr>
      <w:r>
        <w:rPr>
          <w:sz w:val="20"/>
        </w:rPr>
        <w:t>Kamapania brandowa SEA_|_Brand_|_Aryton generuje kilka sesji z całym URL jako source (patrz punkt 4D.3). Wymaga naprawy szablonu URL.</w:t>
      </w:r>
    </w:p>
    <w:p>
      <w:pPr>
        <w:spacing w:after="80"/>
      </w:pPr>
    </w:p>
    <w:p>
      <w:pPr>
        <w:spacing w:before="120" w:after="80"/>
      </w:pPr>
      <w:r>
        <w:rPr>
          <w:b/>
          <w:color w:val="0F3D66"/>
          <w:sz w:val="22"/>
        </w:rPr>
        <w:t>5.4 Meta Ads — UTM</w:t>
      </w:r>
    </w:p>
    <w:p>
      <w:pPr>
        <w:spacing w:after="80"/>
      </w:pPr>
      <w:r>
        <w:rPr>
          <w:sz w:val="20"/>
        </w:rPr>
      </w:r>
      <w:r>
        <w:rPr>
          <w:b/>
          <w:sz w:val="20"/>
        </w:rPr>
        <w:t>Priorytet:</w:t>
      </w:r>
      <w:r>
        <w:rPr>
          <w:sz w:val="20"/>
        </w:rPr>
        <w:t>Wysoki |</w:t>
      </w:r>
      <w:r>
        <w:rPr>
          <w:b/>
          <w:sz w:val="20"/>
        </w:rPr>
        <w:t>Wynik:</w:t>
      </w:r>
      <w:r>
        <w:rPr>
          <w:sz w:val="20"/>
        </w:rPr>
        <w:t>⚠️ 1/3 pkt</w:t>
      </w:r>
    </w:p>
    <w:p>
      <w:pPr>
        <w:spacing w:after="80"/>
      </w:pPr>
      <w:r>
        <w:rPr>
          <w:sz w:val="20"/>
        </w:rPr>
        <w:t>Płatne kampanie Meta (facebook/cpc): 57 699 sesji — UTM działa. Jednak 4 887 sesji z Meta (~8.5%) nie ma UTM i trafia jako referral z różnych domen Facebooka/Instagrama.</w:t>
      </w:r>
    </w:p>
    <w:p>
      <w:pPr>
        <w:spacing w:after="80"/>
      </w:pPr>
    </w:p>
    <w:p>
      <w:pPr>
        <w:spacing w:before="120" w:after="80"/>
      </w:pPr>
      <w:r>
        <w:rPr>
          <w:b/>
          <w:color w:val="0F3D66"/>
          <w:sz w:val="22"/>
        </w:rPr>
        <w:t>5.7 Email marketing — UTM</w:t>
      </w:r>
    </w:p>
    <w:p>
      <w:pPr>
        <w:spacing w:after="80"/>
      </w:pPr>
      <w:r>
        <w:rPr>
          <w:sz w:val="20"/>
        </w:rPr>
      </w:r>
      <w:r>
        <w:rPr>
          <w:b/>
          <w:sz w:val="20"/>
        </w:rPr>
        <w:t>Priorytet:</w:t>
      </w:r>
      <w:r>
        <w:rPr>
          <w:sz w:val="20"/>
        </w:rPr>
        <w:t>Średni |</w:t>
      </w:r>
      <w:r>
        <w:rPr>
          <w:b/>
          <w:sz w:val="20"/>
        </w:rPr>
        <w:t>Wynik:</w:t>
      </w:r>
      <w:r>
        <w:rPr>
          <w:sz w:val="20"/>
        </w:rPr>
        <w:t>✅ 2/2 pkt</w:t>
      </w:r>
    </w:p>
    <w:p>
      <w:pPr>
        <w:spacing w:after="80"/>
      </w:pPr>
      <w:r>
        <w:rPr>
          <w:sz w:val="20"/>
        </w:rPr>
        <w:t>edrone/email: 17 457 sesji, 40 transakcji, 51 771 PLN. Kampanie emailowe prawidłowo oznaczone UTM source=edrone medium=email.</w:t>
      </w:r>
    </w:p>
    <w:p>
      <w:pPr>
        <w:spacing w:after="80"/>
      </w:pPr>
    </w:p>
    <w:p>
      <w:pPr>
        <w:spacing w:before="120" w:after="80"/>
      </w:pPr>
      <w:r>
        <w:rPr>
          <w:b/>
          <w:color w:val="0F3D66"/>
          <w:sz w:val="22"/>
        </w:rPr>
        <w:t>5.10 SMS — brak UTM/konwersji</w:t>
      </w:r>
    </w:p>
    <w:p>
      <w:pPr>
        <w:spacing w:after="80"/>
      </w:pPr>
      <w:r>
        <w:rPr>
          <w:sz w:val="20"/>
        </w:rPr>
      </w:r>
      <w:r>
        <w:rPr>
          <w:b/>
          <w:sz w:val="20"/>
        </w:rPr>
        <w:t>Priorytet:</w:t>
      </w:r>
      <w:r>
        <w:rPr>
          <w:sz w:val="20"/>
        </w:rPr>
        <w:t>Średni |</w:t>
      </w:r>
      <w:r>
        <w:rPr>
          <w:b/>
          <w:sz w:val="20"/>
        </w:rPr>
        <w:t>Wynik:</w:t>
      </w:r>
      <w:r>
        <w:rPr>
          <w:sz w:val="20"/>
        </w:rPr>
        <w:t>❌ 0/2 pkt</w:t>
      </w:r>
    </w:p>
    <w:p>
      <w:pPr>
        <w:spacing w:after="80"/>
      </w:pPr>
      <w:r>
        <w:rPr>
          <w:sz w:val="20"/>
        </w:rPr>
        <w:t>sms/smsapi: 1 735 sesji,</w:t>
      </w:r>
      <w:r>
        <w:rPr>
          <w:b/>
          <w:sz w:val="20"/>
        </w:rPr>
        <w:t>0 transakcji, 0 PLN przychodów</w:t>
      </w:r>
      <w:r>
        <w:rPr>
          <w:sz w:val="20"/>
        </w:rPr>
        <w:t>. Mając taki wolumen sesji przy zerowym przychodzie, mamy do czynienia z jednym z trzech problemów:</w:t>
      </w:r>
    </w:p>
    <w:p>
      <w:pPr>
        <w:pStyle w:val="ListNumber"/>
        <w:spacing w:after="40"/>
        <w:ind w:left="283"/>
      </w:pPr>
      <w:r>
        <w:rPr>
          <w:sz w:val="20"/>
        </w:rPr>
        <w:t>Linki SMS kierują na złą stronę (np. stronę główną zamiast na konkretny produkt/promocję)</w:t>
      </w:r>
    </w:p>
    <w:p>
      <w:pPr>
        <w:pStyle w:val="ListNumber"/>
        <w:spacing w:after="40"/>
        <w:ind w:left="283"/>
      </w:pPr>
      <w:r>
        <w:rPr>
          <w:sz w:val="20"/>
        </w:rPr>
        <w:t>SMS ma UTM source=sms medium=smsapi, ale strona docelowa nie konwertuje</w:t>
      </w:r>
    </w:p>
    <w:p>
      <w:pPr>
        <w:pStyle w:val="ListNumber"/>
        <w:spacing w:after="40"/>
        <w:ind w:left="283"/>
      </w:pPr>
      <w:r>
        <w:rPr>
          <w:sz w:val="20"/>
        </w:rPr>
        <w:t>Sesje z SMS są liczone, ale konwersje nie są przypisywane ze względu na redirect</w:t>
      </w:r>
    </w:p>
    <w:p>
      <w:pPr>
        <w:spacing w:after="80"/>
      </w:pPr>
      <w:r>
        <w:rPr>
          <w:sz w:val="20"/>
        </w:rPr>
      </w:r>
      <w:r>
        <w:rPr>
          <w:b/>
          <w:sz w:val="20"/>
        </w:rPr>
        <w:t>Rekomendacja:</w:t>
      </w:r>
      <w:r>
        <w:rPr>
          <w:sz w:val="20"/>
        </w:rPr>
        <w:t>Sprawdzić landing pages z linków SMS; zmierzyć CR bezpośrednio z UTM session SMS w GA4 Explore.</w:t>
      </w:r>
    </w:p>
    <w:p>
      <w:pPr>
        <w:spacing w:after="80"/>
      </w:pPr>
    </w:p>
    <w:p>
      <w:pPr>
        <w:spacing w:before="200" w:after="80"/>
      </w:pPr>
      <w:r>
        <w:rPr>
          <w:b/>
          <w:color w:val="16213E"/>
          <w:sz w:val="26"/>
        </w:rPr>
        <w:t>SEKCJA 7 — Lejki zakupowe per kanał</w:t>
      </w:r>
    </w:p>
    <w:p>
      <w:pPr>
        <w:spacing w:after="80"/>
      </w:pPr>
      <w:r>
        <w:rPr>
          <w:sz w:val="20"/>
        </w:rPr>
        <w:t>Lejek zakupowy to sekwencja kroków od pierwszego kontaktu z produktem do zakupu: odsłona produktu → koszyk → checkout → zakup. Analiza lejka per kanał pozwala zidentyfikować, który etap jest wąskim gardłem i dla których kanałów.</w:t>
      </w:r>
    </w:p>
    <w:p>
      <w:pPr>
        <w:spacing w:after="80"/>
      </w:pPr>
      <w:r>
        <w:rPr>
          <w:sz w:val="20"/>
        </w:rPr>
      </w:r>
      <w:r>
        <w:rPr>
          <w:b/>
          <w:sz w:val="20"/>
        </w:rPr>
        <w:t>Wynik sekcji: 1/8 pkt (13%) — ❌ Krytyczny</w:t>
      </w:r>
      <w:r>
        <w:rPr>
          <w:sz w:val="20"/>
        </w:rPr>
      </w:r>
    </w:p>
    <w:p>
      <w:pPr>
        <w:spacing w:after="80"/>
      </w:pPr>
    </w:p>
    <w:p>
      <w:pPr>
        <w:spacing w:before="120" w:after="80"/>
      </w:pPr>
      <w:r>
        <w:rPr>
          <w:b/>
          <w:color w:val="0F3D66"/>
          <w:sz w:val="22"/>
        </w:rPr>
        <w:t>Dane lejka per kanał (30d)</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a1a2e"/>
          </w:tcPr>
          <w:p>
            <w:pPr>
              <w:spacing w:before="40" w:after="40"/>
            </w:pPr>
            <w:r>
              <w:rPr>
                <w:b/>
                <w:color w:val="FFFFFF"/>
                <w:sz w:val="17"/>
              </w:rPr>
              <w:t>Kanał</w:t>
            </w:r>
          </w:p>
        </w:tc>
        <w:tc>
          <w:tcPr>
            <w:tcW w:type="dxa" w:w="1568"/>
            <w:shd w:val="clear" w:color="auto" w:fill="1a1a2e"/>
          </w:tcPr>
          <w:p>
            <w:pPr>
              <w:spacing w:before="40" w:after="40"/>
            </w:pPr>
            <w:r>
              <w:rPr>
                <w:b/>
                <w:color w:val="FFFFFF"/>
                <w:sz w:val="17"/>
              </w:rPr>
              <w:t>Sesje</w:t>
            </w:r>
          </w:p>
        </w:tc>
        <w:tc>
          <w:tcPr>
            <w:tcW w:type="dxa" w:w="1568"/>
            <w:shd w:val="clear" w:color="auto" w:fill="1a1a2e"/>
          </w:tcPr>
          <w:p>
            <w:pPr>
              <w:spacing w:before="40" w:after="40"/>
            </w:pPr>
            <w:r>
              <w:rPr>
                <w:b/>
                <w:color w:val="FFFFFF"/>
                <w:sz w:val="17"/>
              </w:rPr>
              <w:t>addToCarts</w:t>
            </w:r>
          </w:p>
        </w:tc>
        <w:tc>
          <w:tcPr>
            <w:tcW w:type="dxa" w:w="1568"/>
            <w:shd w:val="clear" w:color="auto" w:fill="1a1a2e"/>
          </w:tcPr>
          <w:p>
            <w:pPr>
              <w:spacing w:before="40" w:after="40"/>
            </w:pPr>
            <w:r>
              <w:rPr>
                <w:b/>
                <w:color w:val="FFFFFF"/>
                <w:sz w:val="17"/>
              </w:rPr>
              <w:t>Checkouts</w:t>
            </w:r>
          </w:p>
        </w:tc>
        <w:tc>
          <w:tcPr>
            <w:tcW w:type="dxa" w:w="1568"/>
            <w:shd w:val="clear" w:color="auto" w:fill="1a1a2e"/>
          </w:tcPr>
          <w:p>
            <w:pPr>
              <w:spacing w:before="40" w:after="40"/>
            </w:pPr>
            <w:r>
              <w:rPr>
                <w:b/>
                <w:color w:val="FFFFFF"/>
                <w:sz w:val="17"/>
              </w:rPr>
              <w:t>Purchases</w:t>
            </w:r>
          </w:p>
        </w:tc>
        <w:tc>
          <w:tcPr>
            <w:tcW w:type="dxa" w:w="1568"/>
            <w:shd w:val="clear" w:color="auto" w:fill="1a1a2e"/>
          </w:tcPr>
          <w:p>
            <w:pPr>
              <w:spacing w:before="40" w:after="40"/>
            </w:pPr>
            <w:r>
              <w:rPr>
                <w:b/>
                <w:color w:val="FFFFFF"/>
                <w:sz w:val="17"/>
              </w:rPr>
              <w:t>CR sess→purch</w:t>
            </w:r>
          </w:p>
        </w:tc>
      </w:tr>
      <w:tr>
        <w:tc>
          <w:tcPr>
            <w:tcW w:type="dxa" w:w="1568"/>
          </w:tcPr>
          <w:p>
            <w:pPr>
              <w:spacing w:before="40" w:after="40"/>
            </w:pPr>
            <w:r>
              <w:rPr>
                <w:sz w:val="17"/>
              </w:rPr>
              <w:t>Cross-network (PMax)</w:t>
            </w:r>
          </w:p>
        </w:tc>
        <w:tc>
          <w:tcPr>
            <w:tcW w:type="dxa" w:w="1568"/>
          </w:tcPr>
          <w:p>
            <w:pPr>
              <w:spacing w:before="40" w:after="40"/>
            </w:pPr>
            <w:r>
              <w:rPr>
                <w:sz w:val="17"/>
              </w:rPr>
              <w:t>125 604</w:t>
            </w:r>
          </w:p>
        </w:tc>
        <w:tc>
          <w:tcPr>
            <w:tcW w:type="dxa" w:w="1568"/>
          </w:tcPr>
          <w:p>
            <w:pPr>
              <w:spacing w:before="40" w:after="40"/>
            </w:pPr>
            <w:r>
              <w:rPr>
                <w:sz w:val="17"/>
              </w:rPr>
              <w:t>5 357</w:t>
            </w:r>
          </w:p>
        </w:tc>
        <w:tc>
          <w:tcPr>
            <w:tcW w:type="dxa" w:w="1568"/>
          </w:tcPr>
          <w:p>
            <w:pPr>
              <w:spacing w:before="40" w:after="40"/>
            </w:pPr>
            <w:r>
              <w:rPr>
                <w:sz w:val="17"/>
              </w:rPr>
              <w:t>247</w:t>
            </w:r>
          </w:p>
        </w:tc>
        <w:tc>
          <w:tcPr>
            <w:tcW w:type="dxa" w:w="1568"/>
          </w:tcPr>
          <w:p>
            <w:pPr>
              <w:spacing w:before="40" w:after="40"/>
            </w:pPr>
            <w:r>
              <w:rPr>
                <w:sz w:val="17"/>
              </w:rPr>
              <w:t>255</w:t>
            </w:r>
          </w:p>
        </w:tc>
        <w:tc>
          <w:tcPr>
            <w:tcW w:type="dxa" w:w="1568"/>
          </w:tcPr>
          <w:p>
            <w:pPr>
              <w:spacing w:before="40" w:after="40"/>
            </w:pPr>
            <w:r>
              <w:rPr>
                <w:sz w:val="17"/>
              </w:rPr>
              <w:t>0.20%</w:t>
            </w:r>
          </w:p>
        </w:tc>
      </w:tr>
      <w:tr>
        <w:tc>
          <w:tcPr>
            <w:tcW w:type="dxa" w:w="1568"/>
          </w:tcPr>
          <w:p>
            <w:pPr>
              <w:spacing w:before="40" w:after="40"/>
            </w:pPr>
            <w:r>
              <w:rPr>
                <w:sz w:val="17"/>
              </w:rPr>
              <w:t>Organic Search</w:t>
            </w:r>
          </w:p>
        </w:tc>
        <w:tc>
          <w:tcPr>
            <w:tcW w:type="dxa" w:w="1568"/>
          </w:tcPr>
          <w:p>
            <w:pPr>
              <w:spacing w:before="40" w:after="40"/>
            </w:pPr>
            <w:r>
              <w:rPr>
                <w:sz w:val="17"/>
              </w:rPr>
              <w:t>79 134</w:t>
            </w:r>
          </w:p>
        </w:tc>
        <w:tc>
          <w:tcPr>
            <w:tcW w:type="dxa" w:w="1568"/>
          </w:tcPr>
          <w:p>
            <w:pPr>
              <w:spacing w:before="40" w:after="40"/>
            </w:pPr>
            <w:r>
              <w:rPr>
                <w:sz w:val="17"/>
              </w:rPr>
              <w:t>13 693</w:t>
            </w:r>
          </w:p>
        </w:tc>
        <w:tc>
          <w:tcPr>
            <w:tcW w:type="dxa" w:w="1568"/>
          </w:tcPr>
          <w:p>
            <w:pPr>
              <w:spacing w:before="40" w:after="40"/>
            </w:pPr>
            <w:r>
              <w:rPr>
                <w:sz w:val="17"/>
              </w:rPr>
              <w:t>570</w:t>
            </w:r>
          </w:p>
        </w:tc>
        <w:tc>
          <w:tcPr>
            <w:tcW w:type="dxa" w:w="1568"/>
          </w:tcPr>
          <w:p>
            <w:pPr>
              <w:spacing w:before="40" w:after="40"/>
            </w:pPr>
            <w:r>
              <w:rPr>
                <w:sz w:val="17"/>
              </w:rPr>
              <w:t>683</w:t>
            </w:r>
          </w:p>
        </w:tc>
        <w:tc>
          <w:tcPr>
            <w:tcW w:type="dxa" w:w="1568"/>
          </w:tcPr>
          <w:p>
            <w:pPr>
              <w:spacing w:before="40" w:after="40"/>
            </w:pPr>
            <w:r>
              <w:rPr>
                <w:sz w:val="17"/>
              </w:rPr>
              <w:t>0.86%</w:t>
            </w:r>
          </w:p>
        </w:tc>
      </w:tr>
      <w:tr>
        <w:tc>
          <w:tcPr>
            <w:tcW w:type="dxa" w:w="1568"/>
          </w:tcPr>
          <w:p>
            <w:pPr>
              <w:spacing w:before="40" w:after="40"/>
            </w:pPr>
            <w:r>
              <w:rPr>
                <w:sz w:val="17"/>
              </w:rPr>
              <w:t>Paid Social (Meta)</w:t>
            </w:r>
          </w:p>
        </w:tc>
        <w:tc>
          <w:tcPr>
            <w:tcW w:type="dxa" w:w="1568"/>
          </w:tcPr>
          <w:p>
            <w:pPr>
              <w:spacing w:before="40" w:after="40"/>
            </w:pPr>
            <w:r>
              <w:rPr>
                <w:sz w:val="17"/>
              </w:rPr>
              <w:t>57 699</w:t>
            </w:r>
          </w:p>
        </w:tc>
        <w:tc>
          <w:tcPr>
            <w:tcW w:type="dxa" w:w="1568"/>
          </w:tcPr>
          <w:p>
            <w:pPr>
              <w:spacing w:before="40" w:after="40"/>
            </w:pPr>
            <w:r>
              <w:rPr>
                <w:sz w:val="17"/>
              </w:rPr>
              <w:t>4 207</w:t>
            </w:r>
          </w:p>
        </w:tc>
        <w:tc>
          <w:tcPr>
            <w:tcW w:type="dxa" w:w="1568"/>
          </w:tcPr>
          <w:p>
            <w:pPr>
              <w:spacing w:before="40" w:after="40"/>
            </w:pPr>
            <w:r>
              <w:rPr>
                <w:sz w:val="17"/>
              </w:rPr>
              <w:t>136</w:t>
            </w:r>
          </w:p>
        </w:tc>
        <w:tc>
          <w:tcPr>
            <w:tcW w:type="dxa" w:w="1568"/>
          </w:tcPr>
          <w:p>
            <w:pPr>
              <w:spacing w:before="40" w:after="40"/>
            </w:pPr>
            <w:r>
              <w:rPr>
                <w:sz w:val="17"/>
              </w:rPr>
              <w:t>186</w:t>
            </w:r>
          </w:p>
        </w:tc>
        <w:tc>
          <w:tcPr>
            <w:tcW w:type="dxa" w:w="1568"/>
          </w:tcPr>
          <w:p>
            <w:pPr>
              <w:spacing w:before="40" w:after="40"/>
            </w:pPr>
            <w:r>
              <w:rPr>
                <w:sz w:val="17"/>
              </w:rPr>
              <w:t>0.32%</w:t>
            </w:r>
          </w:p>
        </w:tc>
      </w:tr>
      <w:tr>
        <w:tc>
          <w:tcPr>
            <w:tcW w:type="dxa" w:w="1568"/>
          </w:tcPr>
          <w:p>
            <w:pPr>
              <w:spacing w:before="40" w:after="40"/>
            </w:pPr>
            <w:r>
              <w:rPr>
                <w:sz w:val="17"/>
              </w:rPr>
              <w:t>Email (edrone)</w:t>
            </w:r>
          </w:p>
        </w:tc>
        <w:tc>
          <w:tcPr>
            <w:tcW w:type="dxa" w:w="1568"/>
          </w:tcPr>
          <w:p>
            <w:pPr>
              <w:spacing w:before="40" w:after="40"/>
            </w:pPr>
            <w:r>
              <w:rPr>
                <w:sz w:val="17"/>
              </w:rPr>
              <w:t>17 470</w:t>
            </w:r>
          </w:p>
        </w:tc>
        <w:tc>
          <w:tcPr>
            <w:tcW w:type="dxa" w:w="1568"/>
          </w:tcPr>
          <w:p>
            <w:pPr>
              <w:spacing w:before="40" w:after="40"/>
            </w:pPr>
            <w:r>
              <w:rPr>
                <w:sz w:val="17"/>
              </w:rPr>
              <w:t>3 302</w:t>
            </w:r>
          </w:p>
        </w:tc>
        <w:tc>
          <w:tcPr>
            <w:tcW w:type="dxa" w:w="1568"/>
          </w:tcPr>
          <w:p>
            <w:pPr>
              <w:spacing w:before="40" w:after="40"/>
            </w:pPr>
            <w:r>
              <w:rPr>
                <w:sz w:val="17"/>
              </w:rPr>
              <w:t>142</w:t>
            </w:r>
          </w:p>
        </w:tc>
        <w:tc>
          <w:tcPr>
            <w:tcW w:type="dxa" w:w="1568"/>
          </w:tcPr>
          <w:p>
            <w:pPr>
              <w:spacing w:before="40" w:after="40"/>
            </w:pPr>
            <w:r>
              <w:rPr>
                <w:sz w:val="17"/>
              </w:rPr>
              <w:t>178</w:t>
            </w:r>
          </w:p>
        </w:tc>
        <w:tc>
          <w:tcPr>
            <w:tcW w:type="dxa" w:w="1568"/>
          </w:tcPr>
          <w:p>
            <w:pPr>
              <w:spacing w:before="40" w:after="40"/>
            </w:pPr>
            <w:r>
              <w:rPr>
                <w:sz w:val="17"/>
              </w:rPr>
              <w:t>1.02%</w:t>
            </w:r>
          </w:p>
        </w:tc>
      </w:tr>
      <w:tr>
        <w:tc>
          <w:tcPr>
            <w:tcW w:type="dxa" w:w="1568"/>
          </w:tcPr>
          <w:p>
            <w:pPr>
              <w:spacing w:before="40" w:after="40"/>
            </w:pPr>
            <w:r>
              <w:rPr>
                <w:sz w:val="17"/>
              </w:rPr>
              <w:t>Direct</w:t>
            </w:r>
          </w:p>
        </w:tc>
        <w:tc>
          <w:tcPr>
            <w:tcW w:type="dxa" w:w="1568"/>
          </w:tcPr>
          <w:p>
            <w:pPr>
              <w:spacing w:before="40" w:after="40"/>
            </w:pPr>
            <w:r>
              <w:rPr>
                <w:sz w:val="17"/>
              </w:rPr>
              <w:t>16 376</w:t>
            </w:r>
          </w:p>
        </w:tc>
        <w:tc>
          <w:tcPr>
            <w:tcW w:type="dxa" w:w="1568"/>
          </w:tcPr>
          <w:p>
            <w:pPr>
              <w:spacing w:before="40" w:after="40"/>
            </w:pPr>
            <w:r>
              <w:rPr>
                <w:sz w:val="17"/>
              </w:rPr>
              <w:t>2 290</w:t>
            </w:r>
          </w:p>
        </w:tc>
        <w:tc>
          <w:tcPr>
            <w:tcW w:type="dxa" w:w="1568"/>
          </w:tcPr>
          <w:p>
            <w:pPr>
              <w:spacing w:before="40" w:after="40"/>
            </w:pPr>
            <w:r>
              <w:rPr>
                <w:sz w:val="17"/>
              </w:rPr>
              <w:t>45</w:t>
            </w:r>
          </w:p>
        </w:tc>
        <w:tc>
          <w:tcPr>
            <w:tcW w:type="dxa" w:w="1568"/>
          </w:tcPr>
          <w:p>
            <w:pPr>
              <w:spacing w:before="40" w:after="40"/>
            </w:pPr>
            <w:r>
              <w:rPr>
                <w:sz w:val="17"/>
              </w:rPr>
              <w:t>122</w:t>
            </w:r>
          </w:p>
        </w:tc>
        <w:tc>
          <w:tcPr>
            <w:tcW w:type="dxa" w:w="1568"/>
          </w:tcPr>
          <w:p>
            <w:pPr>
              <w:spacing w:before="40" w:after="40"/>
            </w:pPr>
            <w:r>
              <w:rPr>
                <w:sz w:val="17"/>
              </w:rPr>
              <w:t>0.75%</w:t>
            </w:r>
          </w:p>
        </w:tc>
      </w:tr>
      <w:tr>
        <w:tc>
          <w:tcPr>
            <w:tcW w:type="dxa" w:w="1568"/>
          </w:tcPr>
          <w:p>
            <w:pPr>
              <w:spacing w:before="40" w:after="40"/>
            </w:pPr>
            <w:r>
              <w:rPr>
                <w:sz w:val="17"/>
              </w:rPr>
              <w:t>Unassigned</w:t>
            </w:r>
          </w:p>
        </w:tc>
        <w:tc>
          <w:tcPr>
            <w:tcW w:type="dxa" w:w="1568"/>
          </w:tcPr>
          <w:p>
            <w:pPr>
              <w:spacing w:before="40" w:after="40"/>
            </w:pPr>
            <w:r>
              <w:rPr>
                <w:sz w:val="17"/>
              </w:rPr>
              <w:t>8 081</w:t>
            </w:r>
          </w:p>
        </w:tc>
        <w:tc>
          <w:tcPr>
            <w:tcW w:type="dxa" w:w="1568"/>
          </w:tcPr>
          <w:p>
            <w:pPr>
              <w:spacing w:before="40" w:after="40"/>
            </w:pPr>
            <w:r>
              <w:rPr>
                <w:sz w:val="17"/>
              </w:rPr>
              <w:t>1 374</w:t>
            </w:r>
          </w:p>
        </w:tc>
        <w:tc>
          <w:tcPr>
            <w:tcW w:type="dxa" w:w="1568"/>
          </w:tcPr>
          <w:p>
            <w:pPr>
              <w:spacing w:before="40" w:after="40"/>
            </w:pPr>
            <w:r>
              <w:rPr>
                <w:sz w:val="17"/>
              </w:rPr>
              <w:t>47</w:t>
            </w:r>
          </w:p>
        </w:tc>
        <w:tc>
          <w:tcPr>
            <w:tcW w:type="dxa" w:w="1568"/>
          </w:tcPr>
          <w:p>
            <w:pPr>
              <w:spacing w:before="40" w:after="40"/>
            </w:pPr>
            <w:r>
              <w:rPr>
                <w:sz w:val="17"/>
              </w:rPr>
              <w:t>45</w:t>
            </w:r>
          </w:p>
        </w:tc>
        <w:tc>
          <w:tcPr>
            <w:tcW w:type="dxa" w:w="1568"/>
          </w:tcPr>
          <w:p>
            <w:pPr>
              <w:spacing w:before="40" w:after="40"/>
            </w:pPr>
            <w:r>
              <w:rPr>
                <w:sz w:val="17"/>
              </w:rPr>
              <w:t>0.56%</w:t>
            </w:r>
          </w:p>
        </w:tc>
      </w:tr>
      <w:tr>
        <w:tc>
          <w:tcPr>
            <w:tcW w:type="dxa" w:w="1568"/>
          </w:tcPr>
          <w:p>
            <w:pPr>
              <w:spacing w:before="40" w:after="40"/>
            </w:pPr>
            <w:r>
              <w:rPr>
                <w:sz w:val="17"/>
              </w:rPr>
              <w:t>Organic Social</w:t>
            </w:r>
          </w:p>
        </w:tc>
        <w:tc>
          <w:tcPr>
            <w:tcW w:type="dxa" w:w="1568"/>
          </w:tcPr>
          <w:p>
            <w:pPr>
              <w:spacing w:before="40" w:after="40"/>
            </w:pPr>
            <w:r>
              <w:rPr>
                <w:sz w:val="17"/>
              </w:rPr>
              <w:t>4 879</w:t>
            </w:r>
          </w:p>
        </w:tc>
        <w:tc>
          <w:tcPr>
            <w:tcW w:type="dxa" w:w="1568"/>
          </w:tcPr>
          <w:p>
            <w:pPr>
              <w:spacing w:before="40" w:after="40"/>
            </w:pPr>
            <w:r>
              <w:rPr>
                <w:sz w:val="17"/>
              </w:rPr>
              <w:t>508</w:t>
            </w:r>
          </w:p>
        </w:tc>
        <w:tc>
          <w:tcPr>
            <w:tcW w:type="dxa" w:w="1568"/>
          </w:tcPr>
          <w:p>
            <w:pPr>
              <w:spacing w:before="40" w:after="40"/>
            </w:pPr>
            <w:r>
              <w:rPr>
                <w:sz w:val="17"/>
              </w:rPr>
              <w:t>19</w:t>
            </w:r>
          </w:p>
        </w:tc>
        <w:tc>
          <w:tcPr>
            <w:tcW w:type="dxa" w:w="1568"/>
          </w:tcPr>
          <w:p>
            <w:pPr>
              <w:spacing w:before="40" w:after="40"/>
            </w:pPr>
            <w:r>
              <w:rPr>
                <w:sz w:val="17"/>
              </w:rPr>
              <w:t>24</w:t>
            </w:r>
          </w:p>
        </w:tc>
        <w:tc>
          <w:tcPr>
            <w:tcW w:type="dxa" w:w="1568"/>
          </w:tcPr>
          <w:p>
            <w:pPr>
              <w:spacing w:before="40" w:after="40"/>
            </w:pPr>
            <w:r>
              <w:rPr>
                <w:sz w:val="17"/>
              </w:rPr>
              <w:t>0.49%</w:t>
            </w:r>
          </w:p>
        </w:tc>
      </w:tr>
      <w:tr>
        <w:tc>
          <w:tcPr>
            <w:tcW w:type="dxa" w:w="1568"/>
          </w:tcPr>
          <w:p>
            <w:pPr>
              <w:spacing w:before="40" w:after="40"/>
            </w:pPr>
            <w:r>
              <w:rPr>
                <w:sz w:val="17"/>
              </w:rPr>
              <w:t>Paid Search</w:t>
            </w:r>
          </w:p>
        </w:tc>
        <w:tc>
          <w:tcPr>
            <w:tcW w:type="dxa" w:w="1568"/>
          </w:tcPr>
          <w:p>
            <w:pPr>
              <w:spacing w:before="40" w:after="40"/>
            </w:pPr>
            <w:r>
              <w:rPr>
                <w:sz w:val="17"/>
              </w:rPr>
              <w:t>4 458</w:t>
            </w:r>
          </w:p>
        </w:tc>
        <w:tc>
          <w:tcPr>
            <w:tcW w:type="dxa" w:w="1568"/>
          </w:tcPr>
          <w:p>
            <w:pPr>
              <w:spacing w:before="40" w:after="40"/>
            </w:pPr>
            <w:r>
              <w:rPr>
                <w:sz w:val="17"/>
              </w:rPr>
              <w:t>900</w:t>
            </w:r>
          </w:p>
        </w:tc>
        <w:tc>
          <w:tcPr>
            <w:tcW w:type="dxa" w:w="1568"/>
          </w:tcPr>
          <w:p>
            <w:pPr>
              <w:spacing w:before="40" w:after="40"/>
            </w:pPr>
            <w:r>
              <w:rPr>
                <w:sz w:val="17"/>
              </w:rPr>
              <w:t>47</w:t>
            </w:r>
          </w:p>
        </w:tc>
        <w:tc>
          <w:tcPr>
            <w:tcW w:type="dxa" w:w="1568"/>
          </w:tcPr>
          <w:p>
            <w:pPr>
              <w:spacing w:before="40" w:after="40"/>
            </w:pPr>
            <w:r>
              <w:rPr>
                <w:sz w:val="17"/>
              </w:rPr>
              <w:t>46</w:t>
            </w:r>
          </w:p>
        </w:tc>
        <w:tc>
          <w:tcPr>
            <w:tcW w:type="dxa" w:w="1568"/>
          </w:tcPr>
          <w:p>
            <w:pPr>
              <w:spacing w:before="40" w:after="40"/>
            </w:pPr>
            <w:r>
              <w:rPr>
                <w:sz w:val="17"/>
              </w:rPr>
              <w:t>1.03%</w:t>
            </w:r>
          </w:p>
        </w:tc>
      </w:tr>
      <w:tr>
        <w:tc>
          <w:tcPr>
            <w:tcW w:type="dxa" w:w="1568"/>
          </w:tcPr>
          <w:p>
            <w:pPr>
              <w:spacing w:before="40" w:after="40"/>
            </w:pPr>
            <w:r>
              <w:rPr>
                <w:sz w:val="17"/>
              </w:rPr>
              <w:t>Display</w:t>
            </w:r>
          </w:p>
        </w:tc>
        <w:tc>
          <w:tcPr>
            <w:tcW w:type="dxa" w:w="1568"/>
          </w:tcPr>
          <w:p>
            <w:pPr>
              <w:spacing w:before="40" w:after="40"/>
            </w:pPr>
            <w:r>
              <w:rPr>
                <w:sz w:val="17"/>
              </w:rPr>
              <w:t>3 996</w:t>
            </w:r>
          </w:p>
        </w:tc>
        <w:tc>
          <w:tcPr>
            <w:tcW w:type="dxa" w:w="1568"/>
          </w:tcPr>
          <w:p>
            <w:pPr>
              <w:spacing w:before="40" w:after="40"/>
            </w:pPr>
            <w:r>
              <w:rPr>
                <w:sz w:val="17"/>
              </w:rPr>
              <w:t>498</w:t>
            </w:r>
          </w:p>
        </w:tc>
        <w:tc>
          <w:tcPr>
            <w:tcW w:type="dxa" w:w="1568"/>
          </w:tcPr>
          <w:p>
            <w:pPr>
              <w:spacing w:before="40" w:after="40"/>
            </w:pPr>
            <w:r>
              <w:rPr>
                <w:sz w:val="17"/>
              </w:rPr>
              <w:t>25</w:t>
            </w:r>
          </w:p>
        </w:tc>
        <w:tc>
          <w:tcPr>
            <w:tcW w:type="dxa" w:w="1568"/>
          </w:tcPr>
          <w:p>
            <w:pPr>
              <w:spacing w:before="40" w:after="40"/>
            </w:pPr>
            <w:r>
              <w:rPr>
                <w:sz w:val="17"/>
              </w:rPr>
              <w:t>22</w:t>
            </w:r>
          </w:p>
        </w:tc>
        <w:tc>
          <w:tcPr>
            <w:tcW w:type="dxa" w:w="1568"/>
          </w:tcPr>
          <w:p>
            <w:pPr>
              <w:spacing w:before="40" w:after="40"/>
            </w:pPr>
            <w:r>
              <w:rPr>
                <w:sz w:val="17"/>
              </w:rPr>
              <w:t>0.55%</w:t>
            </w:r>
          </w:p>
        </w:tc>
      </w:tr>
      <w:tr>
        <w:tc>
          <w:tcPr>
            <w:tcW w:type="dxa" w:w="1568"/>
          </w:tcPr>
          <w:p>
            <w:pPr>
              <w:spacing w:before="40" w:after="40"/>
            </w:pPr>
            <w:r>
              <w:rPr>
                <w:sz w:val="17"/>
              </w:rPr>
              <w:t>SMS</w:t>
            </w:r>
          </w:p>
        </w:tc>
        <w:tc>
          <w:tcPr>
            <w:tcW w:type="dxa" w:w="1568"/>
          </w:tcPr>
          <w:p>
            <w:pPr>
              <w:spacing w:before="40" w:after="40"/>
            </w:pPr>
            <w:r>
              <w:rPr>
                <w:sz w:val="17"/>
              </w:rPr>
              <w:t>1 737</w:t>
            </w:r>
          </w:p>
        </w:tc>
        <w:tc>
          <w:tcPr>
            <w:tcW w:type="dxa" w:w="1568"/>
          </w:tcPr>
          <w:p>
            <w:pPr>
              <w:spacing w:before="40" w:after="40"/>
            </w:pPr>
            <w:r>
              <w:rPr>
                <w:sz w:val="17"/>
              </w:rPr>
              <w:t>332</w:t>
            </w:r>
          </w:p>
        </w:tc>
        <w:tc>
          <w:tcPr>
            <w:tcW w:type="dxa" w:w="1568"/>
          </w:tcPr>
          <w:p>
            <w:pPr>
              <w:spacing w:before="40" w:after="40"/>
            </w:pPr>
            <w:r>
              <w:rPr>
                <w:sz w:val="17"/>
              </w:rPr>
              <w:t>3</w:t>
            </w:r>
          </w:p>
        </w:tc>
        <w:tc>
          <w:tcPr>
            <w:tcW w:type="dxa" w:w="1568"/>
          </w:tcPr>
          <w:p>
            <w:pPr>
              <w:spacing w:before="40" w:after="40"/>
            </w:pPr>
            <w:r>
              <w:rPr>
                <w:sz w:val="17"/>
              </w:rPr>
              <w:t>5</w:t>
            </w:r>
          </w:p>
        </w:tc>
        <w:tc>
          <w:tcPr>
            <w:tcW w:type="dxa" w:w="1568"/>
          </w:tcPr>
          <w:p>
            <w:pPr>
              <w:spacing w:before="40" w:after="40"/>
            </w:pPr>
            <w:r>
              <w:rPr>
                <w:sz w:val="17"/>
              </w:rPr>
              <w:t>0.29%</w:t>
            </w:r>
          </w:p>
        </w:tc>
      </w:tr>
      <w:tr>
        <w:tc>
          <w:tcPr>
            <w:tcW w:type="dxa" w:w="1568"/>
          </w:tcPr>
          <w:p>
            <w:pPr>
              <w:spacing w:before="40" w:after="40"/>
            </w:pPr>
            <w:r>
              <w:rPr>
                <w:sz w:val="17"/>
              </w:rPr>
              <w:t>Referral</w:t>
            </w:r>
          </w:p>
        </w:tc>
        <w:tc>
          <w:tcPr>
            <w:tcW w:type="dxa" w:w="1568"/>
          </w:tcPr>
          <w:p>
            <w:pPr>
              <w:spacing w:before="40" w:after="40"/>
            </w:pPr>
            <w:r>
              <w:rPr>
                <w:sz w:val="17"/>
              </w:rPr>
              <w:t>1 072</w:t>
            </w:r>
          </w:p>
        </w:tc>
        <w:tc>
          <w:tcPr>
            <w:tcW w:type="dxa" w:w="1568"/>
          </w:tcPr>
          <w:p>
            <w:pPr>
              <w:spacing w:before="40" w:after="40"/>
            </w:pPr>
            <w:r>
              <w:rPr>
                <w:sz w:val="17"/>
              </w:rPr>
              <w:t>191</w:t>
            </w:r>
          </w:p>
        </w:tc>
        <w:tc>
          <w:tcPr>
            <w:tcW w:type="dxa" w:w="1568"/>
          </w:tcPr>
          <w:p>
            <w:pPr>
              <w:spacing w:before="40" w:after="40"/>
            </w:pPr>
            <w:r>
              <w:rPr>
                <w:sz w:val="17"/>
              </w:rPr>
              <w:t>15</w:t>
            </w:r>
          </w:p>
        </w:tc>
        <w:tc>
          <w:tcPr>
            <w:tcW w:type="dxa" w:w="1568"/>
          </w:tcPr>
          <w:p>
            <w:pPr>
              <w:spacing w:before="40" w:after="40"/>
            </w:pPr>
            <w:r>
              <w:rPr>
                <w:sz w:val="17"/>
              </w:rPr>
              <w:t>15</w:t>
            </w:r>
          </w:p>
        </w:tc>
        <w:tc>
          <w:tcPr>
            <w:tcW w:type="dxa" w:w="1568"/>
          </w:tcPr>
          <w:p>
            <w:pPr>
              <w:spacing w:before="40" w:after="40"/>
            </w:pPr>
            <w:r>
              <w:rPr>
                <w:sz w:val="17"/>
              </w:rPr>
              <w:t>1.40%</w:t>
            </w:r>
          </w:p>
        </w:tc>
      </w:tr>
    </w:tbl>
    <w:p/>
    <w:p>
      <w:pPr>
        <w:ind w:left="567"/>
      </w:pPr>
      <w:r>
        <w:rPr>
          <w:i/>
          <w:color w:val="555555"/>
          <w:sz w:val="18"/>
        </w:rPr>
        <w:t>Uwaga: Wartości Purchases to ecommercePurchases (raw eventy, zawyżone ~3.83×). Rzeczywisty CR jest ~3.83× niższy.</w:t>
      </w:r>
    </w:p>
    <w:p>
      <w:pPr>
        <w:spacing w:after="80"/>
      </w:pPr>
    </w:p>
    <w:p>
      <w:pPr>
        <w:spacing w:before="120" w:after="80"/>
      </w:pPr>
      <w:r>
        <w:rPr>
          <w:b/>
          <w:color w:val="0F3D66"/>
          <w:sz w:val="22"/>
        </w:rPr>
        <w:t>7.2 CR paid vs CR organic</w:t>
      </w:r>
    </w:p>
    <w:p>
      <w:pPr>
        <w:spacing w:after="80"/>
      </w:pPr>
      <w:r>
        <w:rPr>
          <w:sz w:val="20"/>
        </w:rPr>
      </w:r>
      <w:r>
        <w:rPr>
          <w:b/>
          <w:sz w:val="20"/>
        </w:rPr>
        <w:t>Priorytet:</w:t>
      </w:r>
      <w:r>
        <w:rPr>
          <w:sz w:val="20"/>
        </w:rPr>
        <w:t>Wysoki |</w:t>
      </w:r>
      <w:r>
        <w:rPr>
          <w:b/>
          <w:sz w:val="20"/>
        </w:rPr>
        <w:t>Wynik:</w:t>
      </w:r>
      <w:r>
        <w:rPr>
          <w:sz w:val="20"/>
        </w:rPr>
        <w:t>❌ 0/2 pkt</w:t>
      </w:r>
    </w:p>
    <w:p>
      <w:pPr>
        <w:spacing w:after="80"/>
      </w:pPr>
      <w:r>
        <w:rPr>
          <w:sz w:val="20"/>
        </w:rPr>
        <w:t>CR google/cpc (source/medium): 91 transakcji / 132 384 sesji =</w:t>
      </w:r>
      <w:r>
        <w:rPr>
          <w:b/>
          <w:sz w:val="20"/>
        </w:rPr>
        <w:t>0.069%</w:t>
      </w:r>
      <w:r>
        <w:rPr>
          <w:sz w:val="20"/>
        </w:rPr>
      </w:r>
    </w:p>
    <w:p>
      <w:pPr>
        <w:spacing w:after="80"/>
      </w:pPr>
      <w:r>
        <w:rPr>
          <w:sz w:val="20"/>
        </w:rPr>
        <w:t>CR google/organic: 168 transakcji / 74 329 sesji =</w:t>
      </w:r>
      <w:r>
        <w:rPr>
          <w:b/>
          <w:sz w:val="20"/>
        </w:rPr>
        <w:t>0.226%</w:t>
      </w:r>
      <w:r>
        <w:rPr>
          <w:sz w:val="20"/>
        </w:rPr>
      </w:r>
    </w:p>
    <w:p>
      <w:pPr>
        <w:spacing w:after="80"/>
      </w:pPr>
      <w:r>
        <w:rPr>
          <w:sz w:val="20"/>
        </w:rPr>
        <w:t>Ratio CR paid/organic =</w:t>
      </w:r>
      <w:r>
        <w:rPr>
          <w:b/>
          <w:sz w:val="20"/>
        </w:rPr>
        <w:t>30.5%</w:t>
      </w:r>
      <w:r>
        <w:rPr>
          <w:sz w:val="20"/>
        </w:rPr>
        <w:t>(minimum to 50%)</w:t>
      </w:r>
    </w:p>
    <w:p>
      <w:pPr>
        <w:spacing w:after="80"/>
      </w:pPr>
      <w:r>
        <w:rPr>
          <w:sz w:val="20"/>
        </w:rPr>
        <w:t>Oznacza to, że 1 złotówka wydana na pozyskanie ruchu z CPC przynosi 3× mniej transakcji niż ten sam ruch organiczny. Może to wynikać z: (1) kampanie CPC kierują na stronę główną zamiast na produkty, (2) targetowanie jest zbyt szerokie, (3) brak dopasowania między reklamą a landing page.</w:t>
      </w:r>
    </w:p>
    <w:p>
      <w:pPr>
        <w:spacing w:after="80"/>
      </w:pPr>
      <w:r>
        <w:rPr>
          <w:sz w:val="20"/>
        </w:rPr>
      </w:r>
      <w:r>
        <w:rPr>
          <w:b/>
          <w:sz w:val="20"/>
        </w:rPr>
        <w:t>Impact:</w:t>
      </w:r>
      <w:r>
        <w:rPr>
          <w:sz w:val="20"/>
        </w:rPr>
        <w:t>Gdyby google/cpc miało CR = 50% organic (tj. 0.113%), przy 132 384 sesjach =</w:t>
      </w:r>
      <w:r>
        <w:rPr>
          <w:b/>
          <w:sz w:val="20"/>
        </w:rPr>
        <w:t>~150 transakcji/msc zamiast 91</w:t>
      </w:r>
      <w:r>
        <w:rPr>
          <w:sz w:val="20"/>
        </w:rPr>
        <w:t>= +59 transakcji × 1 248 PLN =</w:t>
      </w:r>
      <w:r>
        <w:rPr>
          <w:b/>
          <w:sz w:val="20"/>
        </w:rPr>
        <w:t>~73 632 PLN/msc</w:t>
      </w:r>
      <w:r>
        <w:rPr>
          <w:sz w:val="20"/>
        </w:rPr>
        <w:t>dodatkowego przychodu bez zwiększania budżetu.</w:t>
      </w:r>
    </w:p>
    <w:p>
      <w:pPr>
        <w:spacing w:after="80"/>
      </w:pPr>
    </w:p>
    <w:p>
      <w:pPr>
        <w:spacing w:before="120" w:after="80"/>
      </w:pPr>
      <w:r>
        <w:rPr>
          <w:b/>
          <w:color w:val="0F3D66"/>
          <w:sz w:val="22"/>
        </w:rPr>
        <w:t>7.4 Checkout drop-off</w:t>
      </w:r>
    </w:p>
    <w:p>
      <w:pPr>
        <w:spacing w:after="80"/>
      </w:pPr>
      <w:r>
        <w:rPr>
          <w:sz w:val="20"/>
        </w:rPr>
      </w:r>
      <w:r>
        <w:rPr>
          <w:b/>
          <w:sz w:val="20"/>
        </w:rPr>
        <w:t>Priorytet:</w:t>
      </w:r>
      <w:r>
        <w:rPr>
          <w:sz w:val="20"/>
        </w:rPr>
        <w:t>Wysoki |</w:t>
      </w:r>
      <w:r>
        <w:rPr>
          <w:b/>
          <w:sz w:val="20"/>
        </w:rPr>
        <w:t>Wynik:</w:t>
      </w:r>
      <w:r>
        <w:rPr>
          <w:sz w:val="20"/>
        </w:rPr>
        <w:t>❌ 0/2 pkt</w:t>
      </w:r>
    </w:p>
    <w:p>
      <w:pPr>
        <w:spacing w:after="80"/>
      </w:pPr>
      <w:r>
        <w:rPr>
          <w:sz w:val="20"/>
        </w:rPr>
        <w:t>Ze 1 296 sesji begin_checkout tylko 413 zakończyło zakupem =</w:t>
      </w:r>
      <w:r>
        <w:rPr>
          <w:b/>
          <w:sz w:val="20"/>
        </w:rPr>
        <w:t>31.9% konwersji checkout</w:t>
      </w:r>
      <w:r>
        <w:rPr>
          <w:sz w:val="20"/>
        </w:rPr>
        <w:t>. To 68.1% drop-off — użytkownicy rezygnują na etapie finalizacji. Typowe przyczyny dla odzieży premium:</w:t>
      </w:r>
    </w:p>
    <w:p>
      <w:pPr>
        <w:pStyle w:val="ListBullet"/>
        <w:spacing w:after="40"/>
        <w:ind w:left="283"/>
      </w:pPr>
      <w:r>
        <w:rPr>
          <w:sz w:val="20"/>
        </w:rPr>
        <w:t>Zbyt wiele kroków w checkout</w:t>
      </w:r>
    </w:p>
    <w:p>
      <w:pPr>
        <w:pStyle w:val="ListBullet"/>
        <w:spacing w:after="40"/>
        <w:ind w:left="283"/>
      </w:pPr>
      <w:r>
        <w:rPr>
          <w:sz w:val="20"/>
        </w:rPr>
        <w:t>Ograniczone opcje płatności</w:t>
      </w:r>
    </w:p>
    <w:p>
      <w:pPr>
        <w:pStyle w:val="ListBullet"/>
        <w:spacing w:after="40"/>
        <w:ind w:left="283"/>
      </w:pPr>
      <w:r>
        <w:rPr>
          <w:sz w:val="20"/>
        </w:rPr>
        <w:t>Brak opcji "gościa" (wymóg zakładania konta)</w:t>
      </w:r>
    </w:p>
    <w:p>
      <w:pPr>
        <w:pStyle w:val="ListBullet"/>
        <w:spacing w:after="40"/>
        <w:ind w:left="283"/>
      </w:pPr>
      <w:r>
        <w:rPr>
          <w:sz w:val="20"/>
        </w:rPr>
        <w:t>Problemy z UX na mobile (68.1% sesji to mobile)</w:t>
      </w:r>
    </w:p>
    <w:p>
      <w:pPr>
        <w:pStyle w:val="ListBullet"/>
        <w:spacing w:after="40"/>
        <w:ind w:left="283"/>
      </w:pPr>
      <w:r>
        <w:rPr>
          <w:sz w:val="20"/>
        </w:rPr>
        <w:t>Zaskakujące koszty dostawy</w:t>
      </w:r>
    </w:p>
    <w:p>
      <w:pPr>
        <w:spacing w:after="80"/>
      </w:pPr>
    </w:p>
    <w:p>
      <w:pPr>
        <w:spacing w:before="200" w:after="80"/>
      </w:pPr>
      <w:r>
        <w:rPr>
          <w:b/>
          <w:color w:val="16213E"/>
          <w:sz w:val="26"/>
        </w:rPr>
        <w:t>SEKCJA 9 — Analiza danych</w:t>
      </w:r>
    </w:p>
    <w:p>
      <w:pPr>
        <w:spacing w:after="80"/>
      </w:pPr>
      <w:r>
        <w:rPr>
          <w:sz w:val="20"/>
        </w:rPr>
        <w:t>Analiza danych to odpowiedź na pytanie "Jak sklep rzeczywiście działa?". Patrzymy na efektywność kanałów, zachowanie urządzeń, geografię. To podstawa rekomendacji strategicznych.</w:t>
      </w:r>
    </w:p>
    <w:p>
      <w:pPr>
        <w:spacing w:after="80"/>
      </w:pPr>
      <w:r>
        <w:rPr>
          <w:sz w:val="20"/>
        </w:rPr>
      </w:r>
      <w:r>
        <w:rPr>
          <w:b/>
          <w:sz w:val="20"/>
        </w:rPr>
        <w:t>Wynik sekcji: 6/24 pkt (25%) — ❌ Krytyczny</w:t>
      </w:r>
      <w:r>
        <w:rPr>
          <w:sz w:val="20"/>
        </w:rPr>
      </w:r>
    </w:p>
    <w:p>
      <w:pPr>
        <w:spacing w:after="80"/>
      </w:pPr>
    </w:p>
    <w:p>
      <w:pPr>
        <w:spacing w:before="120" w:after="80"/>
      </w:pPr>
      <w:r>
        <w:rPr>
          <w:b/>
          <w:color w:val="0F3D66"/>
          <w:sz w:val="22"/>
        </w:rPr>
        <w:t>Rev/sesja per kanał — Ranking efektywności</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pPr>
              <w:spacing w:before="40" w:after="40"/>
            </w:pPr>
            <w:r>
              <w:rPr>
                <w:b/>
                <w:color w:val="FFFFFF"/>
                <w:sz w:val="17"/>
              </w:rPr>
              <w:t>Kanał</w:t>
            </w:r>
          </w:p>
        </w:tc>
        <w:tc>
          <w:tcPr>
            <w:tcW w:type="dxa" w:w="2351"/>
            <w:shd w:val="clear" w:color="auto" w:fill="1a1a2e"/>
          </w:tcPr>
          <w:p>
            <w:pPr>
              <w:spacing w:before="40" w:after="40"/>
            </w:pPr>
            <w:r>
              <w:rPr>
                <w:b/>
                <w:color w:val="FFFFFF"/>
                <w:sz w:val="17"/>
              </w:rPr>
              <w:t>Rev (PLN)</w:t>
            </w:r>
          </w:p>
        </w:tc>
        <w:tc>
          <w:tcPr>
            <w:tcW w:type="dxa" w:w="2351"/>
            <w:shd w:val="clear" w:color="auto" w:fill="1a1a2e"/>
          </w:tcPr>
          <w:p>
            <w:pPr>
              <w:spacing w:before="40" w:after="40"/>
            </w:pPr>
            <w:r>
              <w:rPr>
                <w:b/>
                <w:color w:val="FFFFFF"/>
                <w:sz w:val="17"/>
              </w:rPr>
              <w:t>Sesje</w:t>
            </w:r>
          </w:p>
        </w:tc>
        <w:tc>
          <w:tcPr>
            <w:tcW w:type="dxa" w:w="2351"/>
            <w:shd w:val="clear" w:color="auto" w:fill="1a1a2e"/>
          </w:tcPr>
          <w:p>
            <w:pPr>
              <w:spacing w:before="40" w:after="40"/>
            </w:pPr>
            <w:r>
              <w:rPr>
                <w:b/>
                <w:color w:val="FFFFFF"/>
                <w:sz w:val="17"/>
              </w:rPr>
              <w:t>Rev/sesja</w:t>
            </w:r>
          </w:p>
        </w:tc>
      </w:tr>
      <w:tr>
        <w:tc>
          <w:tcPr>
            <w:tcW w:type="dxa" w:w="2351"/>
          </w:tcPr>
          <w:p>
            <w:pPr>
              <w:spacing w:before="40" w:after="40"/>
            </w:pPr>
            <w:r>
              <w:rPr>
                <w:sz w:val="17"/>
              </w:rPr>
              <w:t>Organic Search</w:t>
            </w:r>
          </w:p>
        </w:tc>
        <w:tc>
          <w:tcPr>
            <w:tcW w:type="dxa" w:w="2351"/>
          </w:tcPr>
          <w:p>
            <w:pPr>
              <w:spacing w:before="40" w:after="40"/>
            </w:pPr>
            <w:r>
              <w:rPr>
                <w:sz w:val="17"/>
              </w:rPr>
              <w:t>234 013</w:t>
            </w:r>
          </w:p>
        </w:tc>
        <w:tc>
          <w:tcPr>
            <w:tcW w:type="dxa" w:w="2351"/>
          </w:tcPr>
          <w:p>
            <w:pPr>
              <w:spacing w:before="40" w:after="40"/>
            </w:pPr>
            <w:r>
              <w:rPr>
                <w:sz w:val="17"/>
              </w:rPr>
              <w:t>74 329</w:t>
            </w:r>
          </w:p>
        </w:tc>
        <w:tc>
          <w:tcPr>
            <w:tcW w:type="dxa" w:w="2351"/>
          </w:tcPr>
          <w:p>
            <w:pPr>
              <w:spacing w:before="40" w:after="40"/>
            </w:pPr>
            <w:r>
              <w:rPr>
                <w:sz w:val="17"/>
              </w:rPr>
              <w:t>3.15 PLN</w:t>
            </w:r>
          </w:p>
        </w:tc>
      </w:tr>
      <w:tr>
        <w:tc>
          <w:tcPr>
            <w:tcW w:type="dxa" w:w="2351"/>
          </w:tcPr>
          <w:p>
            <w:pPr>
              <w:spacing w:before="40" w:after="40"/>
            </w:pPr>
            <w:r>
              <w:rPr>
                <w:sz w:val="17"/>
              </w:rPr>
              <w:t>Email (edrone)</w:t>
            </w:r>
          </w:p>
        </w:tc>
        <w:tc>
          <w:tcPr>
            <w:tcW w:type="dxa" w:w="2351"/>
          </w:tcPr>
          <w:p>
            <w:pPr>
              <w:spacing w:before="40" w:after="40"/>
            </w:pPr>
            <w:r>
              <w:rPr>
                <w:sz w:val="17"/>
              </w:rPr>
              <w:t>51 771</w:t>
            </w:r>
          </w:p>
        </w:tc>
        <w:tc>
          <w:tcPr>
            <w:tcW w:type="dxa" w:w="2351"/>
          </w:tcPr>
          <w:p>
            <w:pPr>
              <w:spacing w:before="40" w:after="40"/>
            </w:pPr>
            <w:r>
              <w:rPr>
                <w:sz w:val="17"/>
              </w:rPr>
              <w:t>17 457</w:t>
            </w:r>
          </w:p>
        </w:tc>
        <w:tc>
          <w:tcPr>
            <w:tcW w:type="dxa" w:w="2351"/>
          </w:tcPr>
          <w:p>
            <w:pPr>
              <w:spacing w:before="40" w:after="40"/>
            </w:pPr>
            <w:r>
              <w:rPr>
                <w:sz w:val="17"/>
              </w:rPr>
              <w:t>2.97 PLN</w:t>
            </w:r>
          </w:p>
        </w:tc>
      </w:tr>
      <w:tr>
        <w:tc>
          <w:tcPr>
            <w:tcW w:type="dxa" w:w="2351"/>
          </w:tcPr>
          <w:p>
            <w:pPr>
              <w:spacing w:before="40" w:after="40"/>
            </w:pPr>
            <w:r>
              <w:rPr>
                <w:sz w:val="17"/>
              </w:rPr>
              <w:t>Bing organic</w:t>
            </w:r>
          </w:p>
        </w:tc>
        <w:tc>
          <w:tcPr>
            <w:tcW w:type="dxa" w:w="2351"/>
          </w:tcPr>
          <w:p>
            <w:pPr>
              <w:spacing w:before="40" w:after="40"/>
            </w:pPr>
            <w:r>
              <w:rPr>
                <w:sz w:val="17"/>
              </w:rPr>
              <w:t>26 428</w:t>
            </w:r>
          </w:p>
        </w:tc>
        <w:tc>
          <w:tcPr>
            <w:tcW w:type="dxa" w:w="2351"/>
          </w:tcPr>
          <w:p>
            <w:pPr>
              <w:spacing w:before="40" w:after="40"/>
            </w:pPr>
            <w:r>
              <w:rPr>
                <w:sz w:val="17"/>
              </w:rPr>
              <w:t>2 801</w:t>
            </w:r>
          </w:p>
        </w:tc>
        <w:tc>
          <w:tcPr>
            <w:tcW w:type="dxa" w:w="2351"/>
          </w:tcPr>
          <w:p>
            <w:pPr>
              <w:spacing w:before="40" w:after="40"/>
            </w:pPr>
            <w:r>
              <w:rPr>
                <w:sz w:val="17"/>
              </w:rPr>
              <w:t>9.43 PLN ⭐</w:t>
            </w:r>
          </w:p>
        </w:tc>
      </w:tr>
      <w:tr>
        <w:tc>
          <w:tcPr>
            <w:tcW w:type="dxa" w:w="2351"/>
          </w:tcPr>
          <w:p>
            <w:pPr>
              <w:spacing w:before="40" w:after="40"/>
            </w:pPr>
            <w:r>
              <w:rPr>
                <w:sz w:val="17"/>
              </w:rPr>
              <w:t>Direct</w:t>
            </w:r>
          </w:p>
        </w:tc>
        <w:tc>
          <w:tcPr>
            <w:tcW w:type="dxa" w:w="2351"/>
          </w:tcPr>
          <w:p>
            <w:pPr>
              <w:spacing w:before="40" w:after="40"/>
            </w:pPr>
            <w:r>
              <w:rPr>
                <w:sz w:val="17"/>
              </w:rPr>
              <w:t>20 139</w:t>
            </w:r>
          </w:p>
        </w:tc>
        <w:tc>
          <w:tcPr>
            <w:tcW w:type="dxa" w:w="2351"/>
          </w:tcPr>
          <w:p>
            <w:pPr>
              <w:spacing w:before="40" w:after="40"/>
            </w:pPr>
            <w:r>
              <w:rPr>
                <w:sz w:val="17"/>
              </w:rPr>
              <w:t>16 376</w:t>
            </w:r>
          </w:p>
        </w:tc>
        <w:tc>
          <w:tcPr>
            <w:tcW w:type="dxa" w:w="2351"/>
          </w:tcPr>
          <w:p>
            <w:pPr>
              <w:spacing w:before="40" w:after="40"/>
            </w:pPr>
            <w:r>
              <w:rPr>
                <w:sz w:val="17"/>
              </w:rPr>
              <w:t>1.23 PLN</w:t>
            </w:r>
          </w:p>
        </w:tc>
      </w:tr>
      <w:tr>
        <w:tc>
          <w:tcPr>
            <w:tcW w:type="dxa" w:w="2351"/>
          </w:tcPr>
          <w:p>
            <w:pPr>
              <w:spacing w:before="40" w:after="40"/>
            </w:pPr>
            <w:r>
              <w:rPr>
                <w:sz w:val="17"/>
              </w:rPr>
              <w:t>(not set)</w:t>
            </w:r>
          </w:p>
        </w:tc>
        <w:tc>
          <w:tcPr>
            <w:tcW w:type="dxa" w:w="2351"/>
          </w:tcPr>
          <w:p>
            <w:pPr>
              <w:spacing w:before="40" w:after="40"/>
            </w:pPr>
            <w:r>
              <w:rPr>
                <w:sz w:val="17"/>
              </w:rPr>
              <w:t>34 954</w:t>
            </w:r>
          </w:p>
        </w:tc>
        <w:tc>
          <w:tcPr>
            <w:tcW w:type="dxa" w:w="2351"/>
          </w:tcPr>
          <w:p>
            <w:pPr>
              <w:spacing w:before="40" w:after="40"/>
            </w:pPr>
            <w:r>
              <w:rPr>
                <w:sz w:val="17"/>
              </w:rPr>
              <w:t>8 057</w:t>
            </w:r>
          </w:p>
        </w:tc>
        <w:tc>
          <w:tcPr>
            <w:tcW w:type="dxa" w:w="2351"/>
          </w:tcPr>
          <w:p>
            <w:pPr>
              <w:spacing w:before="40" w:after="40"/>
            </w:pPr>
            <w:r>
              <w:rPr>
                <w:sz w:val="17"/>
              </w:rPr>
              <w:t>—</w:t>
            </w:r>
          </w:p>
        </w:tc>
      </w:tr>
      <w:tr>
        <w:tc>
          <w:tcPr>
            <w:tcW w:type="dxa" w:w="2351"/>
          </w:tcPr>
          <w:p>
            <w:pPr>
              <w:spacing w:before="40" w:after="40"/>
            </w:pPr>
            <w:r>
              <w:rPr>
                <w:sz w:val="17"/>
              </w:rPr>
              <w:t>Google CPC</w:t>
            </w:r>
          </w:p>
        </w:tc>
        <w:tc>
          <w:tcPr>
            <w:tcW w:type="dxa" w:w="2351"/>
          </w:tcPr>
          <w:p>
            <w:pPr>
              <w:spacing w:before="40" w:after="40"/>
            </w:pPr>
            <w:r>
              <w:rPr>
                <w:sz w:val="17"/>
              </w:rPr>
              <w:t>95 560</w:t>
            </w:r>
          </w:p>
        </w:tc>
        <w:tc>
          <w:tcPr>
            <w:tcW w:type="dxa" w:w="2351"/>
          </w:tcPr>
          <w:p>
            <w:pPr>
              <w:spacing w:before="40" w:after="40"/>
            </w:pPr>
            <w:r>
              <w:rPr>
                <w:sz w:val="17"/>
              </w:rPr>
              <w:t>132 384</w:t>
            </w:r>
          </w:p>
        </w:tc>
        <w:tc>
          <w:tcPr>
            <w:tcW w:type="dxa" w:w="2351"/>
          </w:tcPr>
          <w:p>
            <w:pPr>
              <w:spacing w:before="40" w:after="40"/>
            </w:pPr>
            <w:r>
              <w:rPr>
                <w:sz w:val="17"/>
              </w:rPr>
              <w:t>0.72 PLN</w:t>
            </w:r>
          </w:p>
        </w:tc>
      </w:tr>
      <w:tr>
        <w:tc>
          <w:tcPr>
            <w:tcW w:type="dxa" w:w="2351"/>
          </w:tcPr>
          <w:p>
            <w:pPr>
              <w:spacing w:before="40" w:after="40"/>
            </w:pPr>
            <w:r>
              <w:rPr>
                <w:sz w:val="17"/>
              </w:rPr>
              <w:t>Paid Social Meta</w:t>
            </w:r>
          </w:p>
        </w:tc>
        <w:tc>
          <w:tcPr>
            <w:tcW w:type="dxa" w:w="2351"/>
          </w:tcPr>
          <w:p>
            <w:pPr>
              <w:spacing w:before="40" w:after="40"/>
            </w:pPr>
            <w:r>
              <w:rPr>
                <w:sz w:val="17"/>
              </w:rPr>
              <w:t>34 433</w:t>
            </w:r>
          </w:p>
        </w:tc>
        <w:tc>
          <w:tcPr>
            <w:tcW w:type="dxa" w:w="2351"/>
          </w:tcPr>
          <w:p>
            <w:pPr>
              <w:spacing w:before="40" w:after="40"/>
            </w:pPr>
            <w:r>
              <w:rPr>
                <w:sz w:val="17"/>
              </w:rPr>
              <w:t>57 699</w:t>
            </w:r>
          </w:p>
        </w:tc>
        <w:tc>
          <w:tcPr>
            <w:tcW w:type="dxa" w:w="2351"/>
          </w:tcPr>
          <w:p>
            <w:pPr>
              <w:spacing w:before="40" w:after="40"/>
            </w:pPr>
            <w:r>
              <w:rPr>
                <w:sz w:val="17"/>
              </w:rPr>
              <w:t>0.60 PLN</w:t>
            </w:r>
          </w:p>
        </w:tc>
      </w:tr>
      <w:tr>
        <w:tc>
          <w:tcPr>
            <w:tcW w:type="dxa" w:w="2351"/>
          </w:tcPr>
          <w:p>
            <w:pPr>
              <w:spacing w:before="40" w:after="40"/>
            </w:pPr>
            <w:r>
              <w:rPr>
                <w:sz w:val="17"/>
              </w:rPr>
              <w:t>Cross-network</w:t>
            </w:r>
          </w:p>
        </w:tc>
        <w:tc>
          <w:tcPr>
            <w:tcW w:type="dxa" w:w="2351"/>
          </w:tcPr>
          <w:p>
            <w:pPr>
              <w:spacing w:before="40" w:after="40"/>
            </w:pPr>
            <w:r>
              <w:rPr>
                <w:sz w:val="17"/>
              </w:rPr>
              <w:t>75 104</w:t>
            </w:r>
          </w:p>
        </w:tc>
        <w:tc>
          <w:tcPr>
            <w:tcW w:type="dxa" w:w="2351"/>
          </w:tcPr>
          <w:p>
            <w:pPr>
              <w:spacing w:before="40" w:after="40"/>
            </w:pPr>
            <w:r>
              <w:rPr>
                <w:sz w:val="17"/>
              </w:rPr>
              <w:t>125 604</w:t>
            </w:r>
          </w:p>
        </w:tc>
        <w:tc>
          <w:tcPr>
            <w:tcW w:type="dxa" w:w="2351"/>
          </w:tcPr>
          <w:p>
            <w:pPr>
              <w:spacing w:before="40" w:after="40"/>
            </w:pPr>
            <w:r>
              <w:rPr>
                <w:sz w:val="17"/>
              </w:rPr>
              <w:t>0.60 PLN</w:t>
            </w:r>
          </w:p>
        </w:tc>
      </w:tr>
    </w:tbl>
    <w:p/>
    <w:p>
      <w:pPr>
        <w:spacing w:after="80"/>
      </w:pPr>
      <w:r>
        <w:rPr>
          <w:sz w:val="20"/>
        </w:rPr>
      </w:r>
      <w:r>
        <w:rPr>
          <w:b/>
          <w:sz w:val="20"/>
        </w:rPr>
        <w:t>Kluczowe obserwacje:</w:t>
      </w:r>
      <w:r>
        <w:rPr>
          <w:sz w:val="20"/>
        </w:rPr>
      </w:r>
    </w:p>
    <w:p>
      <w:pPr>
        <w:pStyle w:val="ListNumber"/>
        <w:spacing w:after="40"/>
        <w:ind w:left="283"/>
      </w:pPr>
      <w:r>
        <w:rPr>
          <w:sz w:val="20"/>
        </w:rPr>
      </w:r>
      <w:r>
        <w:rPr>
          <w:b/>
          <w:sz w:val="20"/>
        </w:rPr>
        <w:t>Bing organic</w:t>
      </w:r>
      <w:r>
        <w:rPr>
          <w:sz w:val="20"/>
        </w:rPr>
        <w:t>— zaledwie 2 801 sesji ale Rev/sesja = 9.43 PLN — najefektywniejszy kanał! Kompletnie niedoinwestowany.</w:t>
      </w:r>
    </w:p>
    <w:p>
      <w:pPr>
        <w:pStyle w:val="ListNumber"/>
        <w:spacing w:after="40"/>
        <w:ind w:left="283"/>
      </w:pPr>
      <w:r>
        <w:rPr>
          <w:sz w:val="20"/>
        </w:rPr>
      </w:r>
      <w:r>
        <w:rPr>
          <w:b/>
          <w:sz w:val="20"/>
        </w:rPr>
        <w:t>Google CPC</w:t>
      </w:r>
      <w:r>
        <w:rPr>
          <w:sz w:val="20"/>
        </w:rPr>
        <w:t>— Rev/sesja = 0.72 PLN vs Organic 3.15 PLN — kanał płatny 4.4× mniej efektywny</w:t>
      </w:r>
    </w:p>
    <w:p>
      <w:pPr>
        <w:pStyle w:val="ListNumber"/>
        <w:spacing w:after="40"/>
        <w:ind w:left="283"/>
      </w:pPr>
      <w:r>
        <w:rPr>
          <w:sz w:val="20"/>
        </w:rPr>
      </w:r>
      <w:r>
        <w:rPr>
          <w:b/>
          <w:sz w:val="20"/>
        </w:rPr>
        <w:t>Cross-network (PMax)</w:t>
      </w:r>
      <w:r>
        <w:rPr>
          <w:sz w:val="20"/>
        </w:rPr>
        <w:t>— największy wolumen sesji (125 604) ale najniższy Rev/sesja (0.60 PLN) — PMax wydaje dużo na słaby ruch</w:t>
      </w:r>
    </w:p>
    <w:p>
      <w:pPr>
        <w:spacing w:after="80"/>
      </w:pPr>
    </w:p>
    <w:p>
      <w:pPr>
        <w:spacing w:before="120" w:after="80"/>
      </w:pPr>
      <w:r>
        <w:rPr>
          <w:b/>
          <w:color w:val="0F3D66"/>
          <w:sz w:val="22"/>
        </w:rPr>
        <w:t>9.3 Mobile vs Desktop — Luka konwersji</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1a2e"/>
          </w:tcPr>
          <w:p>
            <w:pPr>
              <w:spacing w:before="40" w:after="40"/>
            </w:pPr>
            <w:r>
              <w:rPr>
                <w:b/>
                <w:color w:val="FFFFFF"/>
                <w:sz w:val="17"/>
              </w:rPr>
              <w:t>Urządzenie</w:t>
            </w:r>
          </w:p>
        </w:tc>
        <w:tc>
          <w:tcPr>
            <w:tcW w:type="dxa" w:w="1881"/>
            <w:shd w:val="clear" w:color="auto" w:fill="1a1a2e"/>
          </w:tcPr>
          <w:p>
            <w:pPr>
              <w:spacing w:before="40" w:after="40"/>
            </w:pPr>
            <w:r>
              <w:rPr>
                <w:b/>
                <w:color w:val="FFFFFF"/>
                <w:sz w:val="17"/>
              </w:rPr>
              <w:t>Sesje</w:t>
            </w:r>
          </w:p>
        </w:tc>
        <w:tc>
          <w:tcPr>
            <w:tcW w:type="dxa" w:w="1881"/>
            <w:shd w:val="clear" w:color="auto" w:fill="1a1a2e"/>
          </w:tcPr>
          <w:p>
            <w:pPr>
              <w:spacing w:before="40" w:after="40"/>
            </w:pPr>
            <w:r>
              <w:rPr>
                <w:b/>
                <w:color w:val="FFFFFF"/>
                <w:sz w:val="17"/>
              </w:rPr>
              <w:t>Szac. transakcje</w:t>
            </w:r>
          </w:p>
        </w:tc>
        <w:tc>
          <w:tcPr>
            <w:tcW w:type="dxa" w:w="1881"/>
            <w:shd w:val="clear" w:color="auto" w:fill="1a1a2e"/>
          </w:tcPr>
          <w:p>
            <w:pPr>
              <w:spacing w:before="40" w:after="40"/>
            </w:pPr>
            <w:r>
              <w:rPr>
                <w:b/>
                <w:color w:val="FFFFFF"/>
                <w:sz w:val="17"/>
              </w:rPr>
              <w:t>CR</w:t>
            </w:r>
          </w:p>
        </w:tc>
        <w:tc>
          <w:tcPr>
            <w:tcW w:type="dxa" w:w="1881"/>
            <w:shd w:val="clear" w:color="auto" w:fill="1a1a2e"/>
          </w:tcPr>
          <w:p>
            <w:pPr>
              <w:spacing w:before="40" w:after="40"/>
            </w:pPr>
            <w:r>
              <w:rPr>
                <w:b/>
                <w:color w:val="FFFFFF"/>
                <w:sz w:val="17"/>
              </w:rPr>
              <w:t>Rev (PLN)</w:t>
            </w:r>
          </w:p>
        </w:tc>
      </w:tr>
      <w:tr>
        <w:tc>
          <w:tcPr>
            <w:tcW w:type="dxa" w:w="1881"/>
          </w:tcPr>
          <w:p>
            <w:pPr>
              <w:spacing w:before="40" w:after="40"/>
            </w:pPr>
            <w:r>
              <w:rPr>
                <w:sz w:val="17"/>
              </w:rPr>
              <w:t>Desktop</w:t>
            </w:r>
          </w:p>
        </w:tc>
        <w:tc>
          <w:tcPr>
            <w:tcW w:type="dxa" w:w="1881"/>
          </w:tcPr>
          <w:p>
            <w:pPr>
              <w:spacing w:before="40" w:after="40"/>
            </w:pPr>
            <w:r>
              <w:rPr>
                <w:sz w:val="17"/>
              </w:rPr>
              <w:t>62 954</w:t>
            </w:r>
          </w:p>
        </w:tc>
        <w:tc>
          <w:tcPr>
            <w:tcW w:type="dxa" w:w="1881"/>
          </w:tcPr>
          <w:p>
            <w:pPr>
              <w:spacing w:before="40" w:after="40"/>
            </w:pPr>
            <w:r>
              <w:rPr>
                <w:sz w:val="17"/>
              </w:rPr>
              <w:t>~165</w:t>
            </w:r>
          </w:p>
        </w:tc>
        <w:tc>
          <w:tcPr>
            <w:tcW w:type="dxa" w:w="1881"/>
          </w:tcPr>
          <w:p>
            <w:pPr>
              <w:spacing w:before="40" w:after="40"/>
            </w:pPr>
            <w:r>
              <w:rPr>
                <w:sz w:val="17"/>
              </w:rPr>
              <w:t>0.262%</w:t>
            </w:r>
          </w:p>
        </w:tc>
        <w:tc>
          <w:tcPr>
            <w:tcW w:type="dxa" w:w="1881"/>
          </w:tcPr>
          <w:p>
            <w:pPr>
              <w:spacing w:before="40" w:after="40"/>
            </w:pPr>
            <w:r>
              <w:rPr>
                <w:sz w:val="17"/>
              </w:rPr>
              <w:t>200 534</w:t>
            </w:r>
          </w:p>
        </w:tc>
      </w:tr>
      <w:tr>
        <w:tc>
          <w:tcPr>
            <w:tcW w:type="dxa" w:w="1881"/>
          </w:tcPr>
          <w:p>
            <w:pPr>
              <w:spacing w:before="40" w:after="40"/>
            </w:pPr>
            <w:r>
              <w:rPr>
                <w:sz w:val="17"/>
              </w:rPr>
              <w:t>Mobile</w:t>
            </w:r>
          </w:p>
        </w:tc>
        <w:tc>
          <w:tcPr>
            <w:tcW w:type="dxa" w:w="1881"/>
          </w:tcPr>
          <w:p>
            <w:pPr>
              <w:spacing w:before="40" w:after="40"/>
            </w:pPr>
            <w:r>
              <w:rPr>
                <w:sz w:val="17"/>
              </w:rPr>
              <w:t>249 319</w:t>
            </w:r>
          </w:p>
        </w:tc>
        <w:tc>
          <w:tcPr>
            <w:tcW w:type="dxa" w:w="1881"/>
          </w:tcPr>
          <w:p>
            <w:pPr>
              <w:spacing w:before="40" w:after="40"/>
            </w:pPr>
            <w:r>
              <w:rPr>
                <w:sz w:val="17"/>
              </w:rPr>
              <w:t>~247</w:t>
            </w:r>
          </w:p>
        </w:tc>
        <w:tc>
          <w:tcPr>
            <w:tcW w:type="dxa" w:w="1881"/>
          </w:tcPr>
          <w:p>
            <w:pPr>
              <w:spacing w:before="40" w:after="40"/>
            </w:pPr>
            <w:r>
              <w:rPr>
                <w:sz w:val="17"/>
              </w:rPr>
              <w:t>0.099%</w:t>
            </w:r>
          </w:p>
        </w:tc>
        <w:tc>
          <w:tcPr>
            <w:tcW w:type="dxa" w:w="1881"/>
          </w:tcPr>
          <w:p>
            <w:pPr>
              <w:spacing w:before="40" w:after="40"/>
            </w:pPr>
            <w:r>
              <w:rPr>
                <w:sz w:val="17"/>
              </w:rPr>
              <w:t>314 523</w:t>
            </w:r>
          </w:p>
        </w:tc>
      </w:tr>
      <w:tr>
        <w:tc>
          <w:tcPr>
            <w:tcW w:type="dxa" w:w="1881"/>
          </w:tcPr>
          <w:p>
            <w:pPr>
              <w:spacing w:before="40" w:after="40"/>
            </w:pPr>
            <w:r>
              <w:rPr>
                <w:sz w:val="17"/>
              </w:rPr>
              <w:t>Tablet</w:t>
            </w:r>
          </w:p>
        </w:tc>
        <w:tc>
          <w:tcPr>
            <w:tcW w:type="dxa" w:w="1881"/>
          </w:tcPr>
          <w:p>
            <w:pPr>
              <w:spacing w:before="40" w:after="40"/>
            </w:pPr>
            <w:r>
              <w:rPr>
                <w:sz w:val="17"/>
              </w:rPr>
              <w:t>4 615</w:t>
            </w:r>
          </w:p>
        </w:tc>
        <w:tc>
          <w:tcPr>
            <w:tcW w:type="dxa" w:w="1881"/>
          </w:tcPr>
          <w:p>
            <w:pPr>
              <w:spacing w:before="40" w:after="40"/>
            </w:pPr>
            <w:r>
              <w:rPr>
                <w:sz w:val="17"/>
              </w:rPr>
              <w:t>~1</w:t>
            </w:r>
          </w:p>
        </w:tc>
        <w:tc>
          <w:tcPr>
            <w:tcW w:type="dxa" w:w="1881"/>
          </w:tcPr>
          <w:p>
            <w:pPr>
              <w:spacing w:before="40" w:after="40"/>
            </w:pPr>
            <w:r>
              <w:rPr>
                <w:sz w:val="17"/>
              </w:rPr>
              <w:t>0.022%</w:t>
            </w:r>
          </w:p>
        </w:tc>
        <w:tc>
          <w:tcPr>
            <w:tcW w:type="dxa" w:w="1881"/>
          </w:tcPr>
          <w:p>
            <w:pPr>
              <w:spacing w:before="40" w:after="40"/>
            </w:pPr>
            <w:r>
              <w:rPr>
                <w:sz w:val="17"/>
              </w:rPr>
              <w:t>499</w:t>
            </w:r>
          </w:p>
        </w:tc>
      </w:tr>
    </w:tbl>
    <w:p/>
    <w:p>
      <w:pPr>
        <w:ind w:left="567"/>
      </w:pPr>
      <w:r>
        <w:rPr>
          <w:i/>
          <w:color w:val="555555"/>
          <w:sz w:val="18"/>
        </w:rPr>
        <w:t>Szacunki transakcji per urządzenie oparte na proporcji ecommercePurchases zdeduplikowanej przez ratio 413/1582.</w:t>
      </w:r>
    </w:p>
    <w:p>
      <w:pPr>
        <w:spacing w:after="80"/>
      </w:pPr>
      <w:r>
        <w:rPr>
          <w:sz w:val="20"/>
        </w:rPr>
        <w:t>Mobile generuje</w:t>
      </w:r>
      <w:r>
        <w:rPr>
          <w:b/>
          <w:sz w:val="20"/>
        </w:rPr>
        <w:t>78%</w:t>
      </w:r>
      <w:r>
        <w:rPr>
          <w:sz w:val="20"/>
        </w:rPr>
        <w:t>całego ruchu ale tylko</w:t>
      </w:r>
      <w:r>
        <w:rPr>
          <w:b/>
          <w:sz w:val="20"/>
        </w:rPr>
        <w:t>60%</w:t>
      </w:r>
      <w:r>
        <w:rPr>
          <w:sz w:val="20"/>
        </w:rPr>
        <w:t>przychodów. CR mobile (0.099%) jest</w:t>
      </w:r>
      <w:r>
        <w:rPr>
          <w:b/>
          <w:sz w:val="20"/>
        </w:rPr>
        <w:t>2.6× niższy</w:t>
      </w:r>
      <w:r>
        <w:rPr>
          <w:sz w:val="20"/>
        </w:rPr>
        <w:t>niż desktop (0.262%).</w:t>
      </w:r>
    </w:p>
    <w:p>
      <w:pPr>
        <w:spacing w:after="80"/>
      </w:pPr>
      <w:r>
        <w:rPr>
          <w:sz w:val="20"/>
        </w:rPr>
      </w:r>
      <w:r>
        <w:rPr>
          <w:b/>
          <w:sz w:val="20"/>
        </w:rPr>
        <w:t>Obliczenie potencjału:</w:t>
      </w:r>
      <w:r>
        <w:rPr>
          <w:sz w:val="20"/>
        </w:rPr>
        <w:t>Gdyby mobile osiągnęło CR = 50% desktop (0.131%):</w:t>
      </w:r>
    </w:p>
    <w:p>
      <w:pPr>
        <w:spacing w:after="80"/>
      </w:pPr>
      <w:r>
        <w:rPr>
          <w:sz w:val="20"/>
        </w:rPr>
        <w:t>Dodatkowe transakcje = 249 319 × (0.131% - 0.099%) = 249 319 × 0.032% ≈</w:t>
      </w:r>
      <w:r>
        <w:rPr>
          <w:b/>
          <w:sz w:val="20"/>
        </w:rPr>
        <w:t>80 transakcji/msc</w:t>
      </w:r>
      <w:r>
        <w:rPr>
          <w:sz w:val="20"/>
        </w:rPr>
      </w:r>
    </w:p>
    <w:p>
      <w:pPr>
        <w:spacing w:after="80"/>
      </w:pPr>
      <w:r>
        <w:rPr>
          <w:sz w:val="20"/>
        </w:rPr>
        <w:t>Dodatkowy przychód = 80 × 1 248 PLN =</w:t>
      </w:r>
      <w:r>
        <w:rPr>
          <w:b/>
          <w:sz w:val="20"/>
        </w:rPr>
        <w:t>99 840 PLN/msc</w:t>
      </w:r>
      <w:r>
        <w:rPr>
          <w:sz w:val="20"/>
        </w:rPr>
        <w:t>=</w:t>
      </w:r>
      <w:r>
        <w:rPr>
          <w:b/>
          <w:sz w:val="20"/>
        </w:rPr>
        <w:t>~1.2M PLN/rok</w:t>
      </w:r>
      <w:r>
        <w:rPr>
          <w:sz w:val="20"/>
        </w:rPr>
      </w:r>
    </w:p>
    <w:p>
      <w:pPr>
        <w:spacing w:after="80"/>
      </w:pPr>
      <w:r>
        <w:rPr>
          <w:sz w:val="20"/>
        </w:rPr>
        <w:t>To ostrożna estymacja przy celu 50% desktop CR. Przy 70% desktop byłoby to blisko</w:t>
      </w:r>
      <w:r>
        <w:rPr>
          <w:b/>
          <w:sz w:val="20"/>
        </w:rPr>
        <w:t>2M PLN/rok</w:t>
      </w:r>
      <w:r>
        <w:rPr>
          <w:sz w:val="20"/>
        </w:rPr>
        <w:t>dodatkowego przychodu.</w:t>
      </w:r>
    </w:p>
    <w:p>
      <w:pPr>
        <w:spacing w:after="80"/>
      </w:pPr>
    </w:p>
    <w:p>
      <w:pPr>
        <w:spacing w:before="120" w:after="80"/>
      </w:pPr>
      <w:r>
        <w:rPr>
          <w:b/>
          <w:color w:val="0F3D66"/>
          <w:sz w:val="22"/>
        </w:rPr>
        <w:t>9.5 Porzucenie koszyka</w:t>
      </w:r>
    </w:p>
    <w:p>
      <w:pPr>
        <w:spacing w:after="80"/>
      </w:pPr>
      <w:r>
        <w:rPr>
          <w:sz w:val="20"/>
        </w:rPr>
        <w:t>add_to_cart = 32 653 sesji. Faktyczne transakcje = 413.</w:t>
      </w:r>
    </w:p>
    <w:p>
      <w:pPr>
        <w:spacing w:after="80"/>
      </w:pPr>
      <w:r>
        <w:rPr>
          <w:sz w:val="20"/>
        </w:rPr>
        <w:t>Cart abandonment rate = 1 - (413/32 653) =</w:t>
      </w:r>
      <w:r>
        <w:rPr>
          <w:b/>
          <w:sz w:val="20"/>
        </w:rPr>
        <w:t>98.7%</w:t>
      </w:r>
      <w:r>
        <w:rPr>
          <w:sz w:val="20"/>
        </w:rPr>
      </w:r>
    </w:p>
    <w:p>
      <w:pPr>
        <w:spacing w:after="80"/>
      </w:pPr>
      <w:r>
        <w:rPr>
          <w:sz w:val="20"/>
        </w:rPr>
        <w:t>To jeden z najwyższych wskaźników porzucenia koszyków. Nawet w branży odzieżowej (gdzie porzucenie 70–80% jest normą) wynik 98.7% wskazuje na poważne bariery w procesie zakupu.</w:t>
      </w:r>
    </w:p>
    <w:p>
      <w:pPr>
        <w:spacing w:after="80"/>
      </w:pPr>
      <w:r>
        <w:rPr>
          <w:sz w:val="20"/>
        </w:rPr>
        <w:t>Potencjał odzysku z abandoned cart (przy 3% recovery rate):</w:t>
      </w:r>
    </w:p>
    <w:p>
      <w:pPr>
        <w:spacing w:after="80"/>
      </w:pPr>
      <w:r>
        <w:rPr>
          <w:sz w:val="20"/>
        </w:rPr>
        <w:t>32 240 porzuconych koszyków × 3% = 967 dodatkowych transakcji</w:t>
      </w:r>
    </w:p>
    <w:p>
      <w:pPr>
        <w:spacing w:after="80"/>
      </w:pPr>
      <w:r>
        <w:rPr>
          <w:sz w:val="20"/>
        </w:rPr>
        <w:t>967 × 1 248 PLN =</w:t>
      </w:r>
      <w:r>
        <w:rPr>
          <w:b/>
          <w:sz w:val="20"/>
        </w:rPr>
        <w:t>~1 207 000 PLN/rok</w:t>
      </w:r>
      <w:r>
        <w:rPr>
          <w:sz w:val="20"/>
        </w:rPr>
      </w:r>
    </w:p>
    <w:p>
      <w:pPr>
        <w:spacing w:after="80"/>
      </w:pPr>
      <w:r>
        <w:rPr>
          <w:sz w:val="20"/>
        </w:rPr>
        <w:t>Narzędzie edrone posiada funkcję abandoned cart emails — wymaga aktywacji.</w:t>
      </w:r>
    </w:p>
    <w:p>
      <w:pPr>
        <w:spacing w:after="80"/>
      </w:pPr>
    </w:p>
    <w:p>
      <w:pPr>
        <w:spacing w:before="200" w:after="80"/>
      </w:pPr>
      <w:r>
        <w:rPr>
          <w:b/>
          <w:color w:val="16213E"/>
          <w:sz w:val="26"/>
        </w:rPr>
        <w:t>SEKCJA 8 — GA4 ↔ Google Ads</w:t>
      </w:r>
    </w:p>
    <w:p>
      <w:pPr>
        <w:spacing w:after="80"/>
      </w:pPr>
      <w:r>
        <w:rPr>
          <w:sz w:val="20"/>
        </w:rPr>
      </w:r>
      <w:r>
        <w:rPr>
          <w:b/>
          <w:sz w:val="20"/>
        </w:rPr>
        <w:t>Wynik sekcji: 6/27 pkt (22%) — ❌ Krytyczny</w:t>
      </w:r>
      <w:r>
        <w:rPr>
          <w:sz w:val="20"/>
        </w:rPr>
      </w:r>
    </w:p>
    <w:p>
      <w:pPr>
        <w:spacing w:after="80"/>
      </w:pPr>
      <w:r>
        <w:rPr>
          <w:sz w:val="20"/>
        </w:rPr>
        <w:t>Połączenie GA4↔Ads aktywne, reklamy spersonalizowane włączone (✅ 6/6 pkt za te dwa elementy). Pozostałe punkty wymagają weryfikacji w Google Ads Panel, do którego brak dostępu przez BDOS.</w:t>
      </w:r>
    </w:p>
    <w:p>
      <w:pPr>
        <w:spacing w:after="80"/>
      </w:pPr>
      <w:r>
        <w:rPr>
          <w:sz w:val="20"/>
        </w:rPr>
        <w:t>Kluczowe ryzyko: Kampanie PMax optymalizują się na podstawie ecommercePurchases = 1 582 (zawyżone 3.83×). Google "widzi" 3.83× więcej konwersji niż faktycznie ma miejsce. Algorytm Smart Bidding może agresywnie podnosić bidy wierząc, że kampanie są skuteczniejsze niż są.</w:t>
      </w:r>
    </w:p>
    <w:p>
      <w:pPr>
        <w:spacing w:after="80"/>
      </w:pPr>
    </w:p>
    <w:p>
      <w:pPr>
        <w:spacing w:before="200" w:after="80"/>
      </w:pPr>
      <w:r>
        <w:rPr>
          <w:b/>
          <w:color w:val="16213E"/>
          <w:sz w:val="26"/>
        </w:rPr>
        <w:t>CZĘŚĆ II.B — Impact finansowy (podsumowanie)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pPr>
              <w:spacing w:before="40" w:after="40"/>
            </w:pPr>
            <w:r>
              <w:rPr>
                <w:b/>
                <w:color w:val="FFFFFF"/>
                <w:sz w:val="17"/>
              </w:rPr>
              <w:t>Problem</w:t>
            </w:r>
          </w:p>
        </w:tc>
        <w:tc>
          <w:tcPr>
            <w:tcW w:type="dxa" w:w="2351"/>
            <w:shd w:val="clear" w:color="auto" w:fill="1a1a2e"/>
          </w:tcPr>
          <w:p>
            <w:pPr>
              <w:spacing w:before="40" w:after="40"/>
            </w:pPr>
            <w:r>
              <w:rPr>
                <w:b/>
                <w:color w:val="FFFFFF"/>
                <w:sz w:val="17"/>
              </w:rPr>
              <w:t>Szacunek strat/potencjał PLN/msc</w:t>
            </w:r>
          </w:p>
        </w:tc>
        <w:tc>
          <w:tcPr>
            <w:tcW w:type="dxa" w:w="2351"/>
            <w:shd w:val="clear" w:color="auto" w:fill="1a1a2e"/>
          </w:tcPr>
          <w:p>
            <w:pPr>
              <w:spacing w:before="40" w:after="40"/>
            </w:pPr>
            <w:r>
              <w:rPr>
                <w:b/>
                <w:color w:val="FFFFFF"/>
                <w:sz w:val="17"/>
              </w:rPr>
              <w:t>Typ</w:t>
            </w:r>
          </w:p>
        </w:tc>
        <w:tc>
          <w:tcPr>
            <w:tcW w:type="dxa" w:w="2351"/>
            <w:shd w:val="clear" w:color="auto" w:fill="1a1a2e"/>
          </w:tcPr>
          <w:p>
            <w:pPr>
              <w:spacing w:before="40" w:after="40"/>
            </w:pPr>
            <w:r>
              <w:rPr>
                <w:b/>
                <w:color w:val="FFFFFF"/>
                <w:sz w:val="17"/>
              </w:rPr>
              <w:t>Priorytet</w:t>
            </w:r>
          </w:p>
        </w:tc>
      </w:tr>
      <w:tr>
        <w:tc>
          <w:tcPr>
            <w:tcW w:type="dxa" w:w="2351"/>
          </w:tcPr>
          <w:p>
            <w:pPr>
              <w:spacing w:before="40" w:after="40"/>
            </w:pPr>
            <w:r>
              <w:rPr>
                <w:sz w:val="17"/>
              </w:rPr>
              <w:t>Duplikaty purchase — błędna optymalizacja PMax</w:t>
            </w:r>
          </w:p>
        </w:tc>
        <w:tc>
          <w:tcPr>
            <w:tcW w:type="dxa" w:w="2351"/>
          </w:tcPr>
          <w:p>
            <w:pPr>
              <w:spacing w:before="40" w:after="40"/>
            </w:pPr>
            <w:r>
              <w:rPr>
                <w:sz w:val="17"/>
              </w:rPr>
              <w:t>niezmierzalne przepalenie budżetu</w:t>
            </w:r>
          </w:p>
        </w:tc>
        <w:tc>
          <w:tcPr>
            <w:tcW w:type="dxa" w:w="2351"/>
          </w:tcPr>
          <w:p>
            <w:pPr>
              <w:spacing w:before="40" w:after="40"/>
            </w:pPr>
            <w:r>
              <w:rPr>
                <w:sz w:val="17"/>
              </w:rPr>
              <w:t>Strata</w:t>
            </w:r>
          </w:p>
        </w:tc>
        <w:tc>
          <w:tcPr>
            <w:tcW w:type="dxa" w:w="2351"/>
          </w:tcPr>
          <w:p>
            <w:pPr>
              <w:spacing w:before="40" w:after="40"/>
            </w:pPr>
            <w:r>
              <w:rPr>
                <w:sz w:val="17"/>
              </w:rPr>
              <w:t>🔴</w:t>
            </w:r>
          </w:p>
        </w:tc>
      </w:tr>
      <w:tr>
        <w:tc>
          <w:tcPr>
            <w:tcW w:type="dxa" w:w="2351"/>
          </w:tcPr>
          <w:p>
            <w:pPr>
              <w:spacing w:before="40" w:after="40"/>
            </w:pPr>
            <w:r>
              <w:rPr>
                <w:sz w:val="17"/>
              </w:rPr>
              <w:t>itemRevenue=0 — niemożliwa optymalizacja produktowa</w:t>
            </w:r>
          </w:p>
        </w:tc>
        <w:tc>
          <w:tcPr>
            <w:tcW w:type="dxa" w:w="2351"/>
          </w:tcPr>
          <w:p>
            <w:pPr>
              <w:spacing w:before="40" w:after="40"/>
            </w:pPr>
            <w:r>
              <w:rPr>
                <w:sz w:val="17"/>
              </w:rPr>
              <w:t>niezmierzalne</w:t>
            </w:r>
          </w:p>
        </w:tc>
        <w:tc>
          <w:tcPr>
            <w:tcW w:type="dxa" w:w="2351"/>
          </w:tcPr>
          <w:p>
            <w:pPr>
              <w:spacing w:before="40" w:after="40"/>
            </w:pPr>
            <w:r>
              <w:rPr>
                <w:sz w:val="17"/>
              </w:rPr>
              <w:t>Strata</w:t>
            </w:r>
          </w:p>
        </w:tc>
        <w:tc>
          <w:tcPr>
            <w:tcW w:type="dxa" w:w="2351"/>
          </w:tcPr>
          <w:p>
            <w:pPr>
              <w:spacing w:before="40" w:after="40"/>
            </w:pPr>
            <w:r>
              <w:rPr>
                <w:sz w:val="17"/>
              </w:rPr>
              <w:t>🔴</w:t>
            </w:r>
          </w:p>
        </w:tc>
      </w:tr>
      <w:tr>
        <w:tc>
          <w:tcPr>
            <w:tcW w:type="dxa" w:w="2351"/>
          </w:tcPr>
          <w:p>
            <w:pPr>
              <w:spacing w:before="40" w:after="40"/>
            </w:pPr>
            <w:r>
              <w:rPr>
                <w:sz w:val="17"/>
              </w:rPr>
              <w:t>Mobile CVR 2.6× niższy niż desktop</w:t>
            </w:r>
          </w:p>
        </w:tc>
        <w:tc>
          <w:tcPr>
            <w:tcW w:type="dxa" w:w="2351"/>
          </w:tcPr>
          <w:p>
            <w:pPr>
              <w:spacing w:before="40" w:after="40"/>
            </w:pPr>
            <w:r>
              <w:rPr>
                <w:sz w:val="17"/>
              </w:rPr>
              <w:t>~100 000 – 500 000 PLN/msc potencjał</w:t>
            </w:r>
          </w:p>
        </w:tc>
        <w:tc>
          <w:tcPr>
            <w:tcW w:type="dxa" w:w="2351"/>
          </w:tcPr>
          <w:p>
            <w:pPr>
              <w:spacing w:before="40" w:after="40"/>
            </w:pPr>
            <w:r>
              <w:rPr>
                <w:sz w:val="17"/>
              </w:rPr>
              <w:t>Szansa</w:t>
            </w:r>
          </w:p>
        </w:tc>
        <w:tc>
          <w:tcPr>
            <w:tcW w:type="dxa" w:w="2351"/>
          </w:tcPr>
          <w:p>
            <w:pPr>
              <w:spacing w:before="40" w:after="40"/>
            </w:pPr>
            <w:r>
              <w:rPr>
                <w:sz w:val="17"/>
              </w:rPr>
              <w:t>🔴</w:t>
            </w:r>
          </w:p>
        </w:tc>
      </w:tr>
      <w:tr>
        <w:tc>
          <w:tcPr>
            <w:tcW w:type="dxa" w:w="2351"/>
          </w:tcPr>
          <w:p>
            <w:pPr>
              <w:spacing w:before="40" w:after="40"/>
            </w:pPr>
            <w:r>
              <w:rPr>
                <w:sz w:val="17"/>
              </w:rPr>
              <w:t>Checkout drop-off 68%</w:t>
            </w:r>
          </w:p>
        </w:tc>
        <w:tc>
          <w:tcPr>
            <w:tcW w:type="dxa" w:w="2351"/>
          </w:tcPr>
          <w:p>
            <w:pPr>
              <w:spacing w:before="40" w:after="40"/>
            </w:pPr>
            <w:r>
              <w:rPr>
                <w:sz w:val="17"/>
              </w:rPr>
              <w:t>~100 000 – 200 000 PLN/msc potencjał</w:t>
            </w:r>
          </w:p>
        </w:tc>
        <w:tc>
          <w:tcPr>
            <w:tcW w:type="dxa" w:w="2351"/>
          </w:tcPr>
          <w:p>
            <w:pPr>
              <w:spacing w:before="40" w:after="40"/>
            </w:pPr>
            <w:r>
              <w:rPr>
                <w:sz w:val="17"/>
              </w:rPr>
              <w:t>Szansa</w:t>
            </w:r>
          </w:p>
        </w:tc>
        <w:tc>
          <w:tcPr>
            <w:tcW w:type="dxa" w:w="2351"/>
          </w:tcPr>
          <w:p>
            <w:pPr>
              <w:spacing w:before="40" w:after="40"/>
            </w:pPr>
            <w:r>
              <w:rPr>
                <w:sz w:val="17"/>
              </w:rPr>
              <w:t>🟡</w:t>
            </w:r>
          </w:p>
        </w:tc>
      </w:tr>
      <w:tr>
        <w:tc>
          <w:tcPr>
            <w:tcW w:type="dxa" w:w="2351"/>
          </w:tcPr>
          <w:p>
            <w:pPr>
              <w:spacing w:before="40" w:after="40"/>
            </w:pPr>
            <w:r>
              <w:rPr>
                <w:sz w:val="17"/>
              </w:rPr>
              <w:t>Porzucenie koszyka 98.7%</w:t>
            </w:r>
          </w:p>
        </w:tc>
        <w:tc>
          <w:tcPr>
            <w:tcW w:type="dxa" w:w="2351"/>
          </w:tcPr>
          <w:p>
            <w:pPr>
              <w:spacing w:before="40" w:after="40"/>
            </w:pPr>
            <w:r>
              <w:rPr>
                <w:sz w:val="17"/>
              </w:rPr>
              <w:t>~100 000 PLN/msc (przy 3% recovery)</w:t>
            </w:r>
          </w:p>
        </w:tc>
        <w:tc>
          <w:tcPr>
            <w:tcW w:type="dxa" w:w="2351"/>
          </w:tcPr>
          <w:p>
            <w:pPr>
              <w:spacing w:before="40" w:after="40"/>
            </w:pPr>
            <w:r>
              <w:rPr>
                <w:sz w:val="17"/>
              </w:rPr>
              <w:t>Szansa</w:t>
            </w:r>
          </w:p>
        </w:tc>
        <w:tc>
          <w:tcPr>
            <w:tcW w:type="dxa" w:w="2351"/>
          </w:tcPr>
          <w:p>
            <w:pPr>
              <w:spacing w:before="40" w:after="40"/>
            </w:pPr>
            <w:r>
              <w:rPr>
                <w:sz w:val="17"/>
              </w:rPr>
              <w:t>🟡</w:t>
            </w:r>
          </w:p>
        </w:tc>
      </w:tr>
      <w:tr>
        <w:tc>
          <w:tcPr>
            <w:tcW w:type="dxa" w:w="2351"/>
          </w:tcPr>
          <w:p>
            <w:pPr>
              <w:spacing w:before="40" w:after="40"/>
            </w:pPr>
            <w:r>
              <w:rPr>
                <w:sz w:val="17"/>
              </w:rPr>
              <w:t>google/cpc CR 30% organic</w:t>
            </w:r>
          </w:p>
        </w:tc>
        <w:tc>
          <w:tcPr>
            <w:tcW w:type="dxa" w:w="2351"/>
          </w:tcPr>
          <w:p>
            <w:pPr>
              <w:spacing w:before="40" w:after="40"/>
            </w:pPr>
            <w:r>
              <w:rPr>
                <w:sz w:val="17"/>
              </w:rPr>
              <w:t>~73 632 PLN/msc niedopieczony</w:t>
            </w:r>
          </w:p>
        </w:tc>
        <w:tc>
          <w:tcPr>
            <w:tcW w:type="dxa" w:w="2351"/>
          </w:tcPr>
          <w:p>
            <w:pPr>
              <w:spacing w:before="40" w:after="40"/>
            </w:pPr>
            <w:r>
              <w:rPr>
                <w:sz w:val="17"/>
              </w:rPr>
              <w:t>Szansa</w:t>
            </w:r>
          </w:p>
        </w:tc>
        <w:tc>
          <w:tcPr>
            <w:tcW w:type="dxa" w:w="2351"/>
          </w:tcPr>
          <w:p>
            <w:pPr>
              <w:spacing w:before="40" w:after="40"/>
            </w:pPr>
            <w:r>
              <w:rPr>
                <w:sz w:val="17"/>
              </w:rPr>
              <w:t>🟡</w:t>
            </w:r>
          </w:p>
        </w:tc>
      </w:tr>
      <w:tr>
        <w:tc>
          <w:tcPr>
            <w:tcW w:type="dxa" w:w="2351"/>
          </w:tcPr>
          <w:p>
            <w:pPr>
              <w:spacing w:before="40" w:after="40"/>
            </w:pPr>
            <w:r>
              <w:rPr>
                <w:sz w:val="17"/>
              </w:rPr>
              <w:t>Meta fragmentacja 7 źródeł</w:t>
            </w:r>
          </w:p>
        </w:tc>
        <w:tc>
          <w:tcPr>
            <w:tcW w:type="dxa" w:w="2351"/>
          </w:tcPr>
          <w:p>
            <w:pPr>
              <w:spacing w:before="40" w:after="40"/>
            </w:pPr>
            <w:r>
              <w:rPr>
                <w:sz w:val="17"/>
              </w:rPr>
              <w:t>~5 000 PLN/msc niewidoczne</w:t>
            </w:r>
          </w:p>
        </w:tc>
        <w:tc>
          <w:tcPr>
            <w:tcW w:type="dxa" w:w="2351"/>
          </w:tcPr>
          <w:p>
            <w:pPr>
              <w:spacing w:before="40" w:after="40"/>
            </w:pPr>
            <w:r>
              <w:rPr>
                <w:sz w:val="17"/>
              </w:rPr>
              <w:t>Strata</w:t>
            </w:r>
          </w:p>
        </w:tc>
        <w:tc>
          <w:tcPr>
            <w:tcW w:type="dxa" w:w="2351"/>
          </w:tcPr>
          <w:p>
            <w:pPr>
              <w:spacing w:before="40" w:after="40"/>
            </w:pPr>
            <w:r>
              <w:rPr>
                <w:sz w:val="17"/>
              </w:rPr>
              <w:t>🟡</w:t>
            </w:r>
          </w:p>
        </w:tc>
      </w:tr>
      <w:tr>
        <w:tc>
          <w:tcPr>
            <w:tcW w:type="dxa" w:w="2351"/>
          </w:tcPr>
          <w:p>
            <w:pPr>
              <w:spacing w:before="40" w:after="40"/>
            </w:pPr>
            <w:r>
              <w:rPr>
                <w:sz w:val="17"/>
              </w:rPr>
              <w:t>(not set) transakcje 7% = brak atrybuacji</w:t>
            </w:r>
          </w:p>
        </w:tc>
        <w:tc>
          <w:tcPr>
            <w:tcW w:type="dxa" w:w="2351"/>
          </w:tcPr>
          <w:p>
            <w:pPr>
              <w:spacing w:before="40" w:after="40"/>
            </w:pPr>
            <w:r>
              <w:rPr>
                <w:sz w:val="17"/>
              </w:rPr>
              <w:t>~36 192 PLN/msc</w:t>
            </w:r>
          </w:p>
        </w:tc>
        <w:tc>
          <w:tcPr>
            <w:tcW w:type="dxa" w:w="2351"/>
          </w:tcPr>
          <w:p>
            <w:pPr>
              <w:spacing w:before="40" w:after="40"/>
            </w:pPr>
            <w:r>
              <w:rPr>
                <w:sz w:val="17"/>
              </w:rPr>
              <w:t>Strata</w:t>
            </w:r>
          </w:p>
        </w:tc>
        <w:tc>
          <w:tcPr>
            <w:tcW w:type="dxa" w:w="2351"/>
          </w:tcPr>
          <w:p>
            <w:pPr>
              <w:spacing w:before="40" w:after="40"/>
            </w:pPr>
            <w:r>
              <w:rPr>
                <w:sz w:val="17"/>
              </w:rPr>
              <w:t>🟡</w:t>
            </w:r>
          </w:p>
        </w:tc>
      </w:tr>
      <w:tr>
        <w:tc>
          <w:tcPr>
            <w:tcW w:type="dxa" w:w="2351"/>
          </w:tcPr>
          <w:p>
            <w:pPr>
              <w:spacing w:before="40" w:after="40"/>
            </w:pPr>
            <w:r>
              <w:rPr>
                <w:sz w:val="17"/>
              </w:rPr>
              <w:t>SMS: 0 transakcji z 1 735 sesji</w:t>
            </w:r>
          </w:p>
        </w:tc>
        <w:tc>
          <w:tcPr>
            <w:tcW w:type="dxa" w:w="2351"/>
          </w:tcPr>
          <w:p>
            <w:pPr>
              <w:spacing w:before="40" w:after="40"/>
            </w:pPr>
            <w:r>
              <w:rPr>
                <w:sz w:val="17"/>
              </w:rPr>
              <w:t>~5 000 PLN/msc potencjał</w:t>
            </w:r>
          </w:p>
        </w:tc>
        <w:tc>
          <w:tcPr>
            <w:tcW w:type="dxa" w:w="2351"/>
          </w:tcPr>
          <w:p>
            <w:pPr>
              <w:spacing w:before="40" w:after="40"/>
            </w:pPr>
            <w:r>
              <w:rPr>
                <w:sz w:val="17"/>
              </w:rPr>
              <w:t>Szansa</w:t>
            </w:r>
          </w:p>
        </w:tc>
        <w:tc>
          <w:tcPr>
            <w:tcW w:type="dxa" w:w="2351"/>
          </w:tcPr>
          <w:p>
            <w:pPr>
              <w:spacing w:before="40" w:after="40"/>
            </w:pPr>
            <w:r>
              <w:rPr>
                <w:sz w:val="17"/>
              </w:rPr>
              <w:t>🟢</w:t>
            </w:r>
          </w:p>
        </w:tc>
      </w:tr>
      <w:tr>
        <w:tc>
          <w:tcPr>
            <w:tcW w:type="dxa" w:w="2351"/>
          </w:tcPr>
          <w:p>
            <w:pPr>
              <w:spacing w:before="40" w:after="40"/>
            </w:pPr>
            <w:r>
              <w:rPr>
                <w:sz w:val="17"/>
              </w:rPr>
              <w:t>Webmaile + Klarna w referral</w:t>
            </w:r>
          </w:p>
        </w:tc>
        <w:tc>
          <w:tcPr>
            <w:tcW w:type="dxa" w:w="2351"/>
          </w:tcPr>
          <w:p>
            <w:pPr>
              <w:spacing w:before="40" w:after="40"/>
            </w:pPr>
            <w:r>
              <w:rPr>
                <w:sz w:val="17"/>
              </w:rPr>
              <w:t>~5 000 PLN/msc błędna atrybuacja</w:t>
            </w:r>
          </w:p>
        </w:tc>
        <w:tc>
          <w:tcPr>
            <w:tcW w:type="dxa" w:w="2351"/>
          </w:tcPr>
          <w:p>
            <w:pPr>
              <w:spacing w:before="40" w:after="40"/>
            </w:pPr>
            <w:r>
              <w:rPr>
                <w:sz w:val="17"/>
              </w:rPr>
              <w:t>Strata</w:t>
            </w:r>
          </w:p>
        </w:tc>
        <w:tc>
          <w:tcPr>
            <w:tcW w:type="dxa" w:w="2351"/>
          </w:tcPr>
          <w:p>
            <w:pPr>
              <w:spacing w:before="40" w:after="40"/>
            </w:pPr>
            <w:r>
              <w:rPr>
                <w:sz w:val="17"/>
              </w:rPr>
              <w:t>🟢</w:t>
            </w:r>
          </w:p>
        </w:tc>
      </w:tr>
    </w:tbl>
    <w:p/>
    <w:p>
      <w:pPr>
        <w:spacing w:after="80"/>
      </w:pPr>
      <w:r>
        <w:rPr>
          <w:sz w:val="20"/>
        </w:rPr>
      </w:r>
      <w:r>
        <w:rPr>
          <w:b/>
          <w:sz w:val="20"/>
        </w:rPr>
        <w:t>Łączny szacowany potencjał (konserwatywny):</w:t>
      </w:r>
      <w:r>
        <w:rPr>
          <w:sz w:val="20"/>
        </w:rPr>
        <w:t>~300 000 – 800 000 PLN/miesiąc</w:t>
      </w:r>
    </w:p>
    <w:p>
      <w:pPr>
        <w:spacing w:after="80"/>
      </w:pPr>
    </w:p>
    <w:p>
      <w:pPr>
        <w:spacing w:before="200" w:after="80"/>
      </w:pPr>
      <w:r>
        <w:rPr>
          <w:b/>
          <w:color w:val="16213E"/>
          <w:sz w:val="26"/>
        </w:rPr>
        <w:t>CZĘŚĆ III — REKOMENDACJE</w:t>
      </w:r>
    </w:p>
    <w:p>
      <w:pPr>
        <w:spacing w:before="120" w:after="80"/>
      </w:pPr>
      <w:r>
        <w:rPr>
          <w:b/>
          <w:color w:val="0F3D66"/>
          <w:sz w:val="22"/>
        </w:rPr>
        <w:t>🔴 Natychmiast (0–7 dni) — Zatamowanie strat</w:t>
      </w:r>
    </w:p>
    <w:p>
      <w:pPr>
        <w:spacing w:after="80"/>
      </w:pPr>
      <w:r>
        <w:rPr>
          <w:sz w:val="20"/>
        </w:rPr>
      </w:r>
      <w:r>
        <w:rPr>
          <w:b/>
          <w:sz w:val="20"/>
        </w:rPr>
        <w:t>1. Wyłączyć hardcoded GA4 w Shoper</w:t>
      </w:r>
      <w:r>
        <w:rPr>
          <w:sz w:val="20"/>
        </w:rPr>
      </w:r>
    </w:p>
    <w:p>
      <w:pPr>
        <w:pStyle w:val="ListBullet"/>
        <w:spacing w:after="40"/>
        <w:ind w:left="283"/>
      </w:pPr>
      <w:r>
        <w:rPr>
          <w:sz w:val="20"/>
        </w:rPr>
        <w:t>Panel Shoper → Ustawienia → Integracje → Google Analytics → wyłączyć</w:t>
      </w:r>
    </w:p>
    <w:p>
      <w:pPr>
        <w:pStyle w:val="ListBullet"/>
        <w:spacing w:after="40"/>
        <w:ind w:left="283"/>
      </w:pPr>
      <w:r>
        <w:rPr>
          <w:sz w:val="20"/>
        </w:rPr>
        <w:t>Efekt: ratio purchase:transactions spada do ~1.0×, kampanie PMax otrzymują prawdziwe dane</w:t>
      </w:r>
    </w:p>
    <w:p>
      <w:pPr>
        <w:pStyle w:val="ListBullet"/>
        <w:spacing w:after="40"/>
        <w:ind w:left="283"/>
      </w:pPr>
      <w:r>
        <w:rPr>
          <w:sz w:val="20"/>
        </w:rPr>
        <w:t>Ryzyko: po wyłączeniu dane historyczne nie zmienią się, ale dane od jutra będą wiarygodne</w:t>
      </w:r>
    </w:p>
    <w:p>
      <w:pPr>
        <w:spacing w:after="80"/>
      </w:pPr>
      <w:r>
        <w:rPr>
          <w:sz w:val="20"/>
        </w:rPr>
      </w:r>
      <w:r>
        <w:rPr>
          <w:b/>
          <w:sz w:val="20"/>
        </w:rPr>
        <w:t>2. Naprawić DataLayer items[] na stronie thank-you</w:t>
      </w:r>
      <w:r>
        <w:rPr>
          <w:sz w:val="20"/>
        </w:rPr>
      </w:r>
    </w:p>
    <w:p>
      <w:pPr>
        <w:pStyle w:val="ListBullet"/>
        <w:spacing w:after="40"/>
        <w:ind w:left="283"/>
      </w:pPr>
      <w:r>
        <w:rPr>
          <w:sz w:val="20"/>
        </w:rPr>
        <w:t>Deweloper → strona potwierdzenia zamówienia → zweryfikować dataLayer.push przy evencie purchase</w:t>
      </w:r>
    </w:p>
    <w:p>
      <w:pPr>
        <w:pStyle w:val="ListBullet"/>
        <w:spacing w:after="40"/>
        <w:ind w:left="283"/>
      </w:pPr>
      <w:r>
        <w:rPr>
          <w:sz w:val="20"/>
        </w:rPr>
        <w:t>Upewnić się, że ecommerce.items[] zawiera: item_id, item_name, price, quantity</w:t>
      </w:r>
    </w:p>
    <w:p>
      <w:pPr>
        <w:pStyle w:val="ListBullet"/>
        <w:spacing w:after="40"/>
        <w:ind w:left="283"/>
      </w:pPr>
      <w:r>
        <w:rPr>
          <w:sz w:val="20"/>
        </w:rPr>
        <w:t>Efekt: dane produktowe zaczną napływać, BCG możliwe, feed zoptymalizowany</w:t>
      </w:r>
    </w:p>
    <w:p>
      <w:pPr>
        <w:spacing w:after="80"/>
      </w:pPr>
      <w:r>
        <w:rPr>
          <w:sz w:val="20"/>
        </w:rPr>
      </w:r>
      <w:r>
        <w:rPr>
          <w:b/>
          <w:sz w:val="20"/>
        </w:rPr>
        <w:t>3. Skonfigurować url_passthrough w GTM</w:t>
      </w:r>
      <w:r>
        <w:rPr>
          <w:sz w:val="20"/>
        </w:rPr>
      </w:r>
    </w:p>
    <w:p>
      <w:pPr>
        <w:pStyle w:val="ListBullet"/>
        <w:spacing w:after="40"/>
        <w:ind w:left="283"/>
      </w:pPr>
      <w:r>
        <w:rPr>
          <w:sz w:val="20"/>
        </w:rPr>
        <w:t>GTM → Tag GA4 Configuration → Pola konfiguracji → dodać url_passthrough = true</w:t>
      </w:r>
    </w:p>
    <w:p>
      <w:pPr>
        <w:pStyle w:val="ListBullet"/>
        <w:spacing w:after="40"/>
        <w:ind w:left="283"/>
      </w:pPr>
      <w:r>
        <w:rPr>
          <w:sz w:val="20"/>
        </w:rPr>
        <w:t>Efekt: ~29 transakcji/msc odzyska atrybuację, ~36 000 PLN/msc mierzalne</w:t>
      </w:r>
    </w:p>
    <w:p>
      <w:pPr>
        <w:spacing w:after="80"/>
      </w:pPr>
      <w:r>
        <w:rPr>
          <w:sz w:val="20"/>
        </w:rPr>
      </w:r>
      <w:r>
        <w:rPr>
          <w:b/>
          <w:sz w:val="20"/>
        </w:rPr>
        <w:t>4. Dodać Referral exclusion</w:t>
      </w:r>
      <w:r>
        <w:rPr>
          <w:sz w:val="20"/>
        </w:rPr>
      </w:r>
    </w:p>
    <w:p>
      <w:pPr>
        <w:pStyle w:val="ListBullet"/>
        <w:spacing w:after="40"/>
        <w:ind w:left="283"/>
      </w:pPr>
      <w:r>
        <w:rPr>
          <w:sz w:val="20"/>
        </w:rPr>
        <w:t>GA4 → Strumień → Referral exclusion → dodać: klarna.com, wp.pl, onet.pl, o2.pl, interia.pl</w:t>
      </w:r>
    </w:p>
    <w:p>
      <w:pPr>
        <w:pStyle w:val="ListBullet"/>
        <w:spacing w:after="40"/>
        <w:ind w:left="283"/>
      </w:pPr>
      <w:r>
        <w:rPr>
          <w:sz w:val="20"/>
        </w:rPr>
        <w:t>Efekt: 471 sesji/msc z prawidłową atrybuacją</w:t>
      </w:r>
    </w:p>
    <w:p>
      <w:pPr>
        <w:spacing w:after="80"/>
      </w:pPr>
    </w:p>
    <w:p>
      <w:pPr>
        <w:spacing w:before="120" w:after="80"/>
      </w:pPr>
      <w:r>
        <w:rPr>
          <w:b/>
          <w:color w:val="0F3D66"/>
          <w:sz w:val="22"/>
        </w:rPr>
        <w:t>🟡 Miesiąc 1 — Optymalizacja i naprawa</w:t>
      </w:r>
    </w:p>
    <w:p>
      <w:pPr>
        <w:spacing w:after="80"/>
      </w:pPr>
      <w:r>
        <w:rPr>
          <w:sz w:val="20"/>
        </w:rPr>
      </w:r>
      <w:r>
        <w:rPr>
          <w:b/>
          <w:sz w:val="20"/>
        </w:rPr>
        <w:t>5. Audyt UX mobile — priorytet #1 po naprawie trackingu</w:t>
      </w:r>
      <w:r>
        <w:rPr>
          <w:sz w:val="20"/>
        </w:rPr>
      </w:r>
    </w:p>
    <w:p>
      <w:pPr>
        <w:pStyle w:val="ListBullet"/>
        <w:spacing w:after="40"/>
        <w:ind w:left="283"/>
      </w:pPr>
      <w:r>
        <w:rPr>
          <w:sz w:val="20"/>
        </w:rPr>
        <w:t>Sprawdzić Core Web Vitals na mobile (Google PageSpeed Insights)</w:t>
      </w:r>
    </w:p>
    <w:p>
      <w:pPr>
        <w:pStyle w:val="ListBullet"/>
        <w:spacing w:after="40"/>
        <w:ind w:left="283"/>
      </w:pPr>
      <w:r>
        <w:rPr>
          <w:sz w:val="20"/>
        </w:rPr>
        <w:t>Zmierzyć czas checkout na telefonie — powinien być max 3 kroki</w:t>
      </w:r>
    </w:p>
    <w:p>
      <w:pPr>
        <w:pStyle w:val="ListBullet"/>
        <w:spacing w:after="40"/>
        <w:ind w:left="283"/>
      </w:pPr>
      <w:r>
        <w:rPr>
          <w:sz w:val="20"/>
        </w:rPr>
        <w:t>Sprawdzić rozmiar przycisków CTA, czytelność produktów</w:t>
      </w:r>
    </w:p>
    <w:p>
      <w:pPr>
        <w:pStyle w:val="ListBullet"/>
        <w:spacing w:after="40"/>
        <w:ind w:left="283"/>
      </w:pPr>
      <w:r>
        <w:rPr>
          <w:sz w:val="20"/>
        </w:rPr>
        <w:t>Implementować Apple Pay / Google Pay (natywne metody mobile)</w:t>
      </w:r>
    </w:p>
    <w:p>
      <w:pPr>
        <w:pStyle w:val="ListBullet"/>
        <w:spacing w:after="40"/>
        <w:ind w:left="283"/>
      </w:pPr>
      <w:r>
        <w:rPr>
          <w:sz w:val="20"/>
        </w:rPr>
        <w:t>Cel: podnieść CR mobile z 0.099% do min. 0.15% = +130 000 PLN/msc</w:t>
      </w:r>
    </w:p>
    <w:p>
      <w:pPr>
        <w:spacing w:after="80"/>
      </w:pPr>
      <w:r>
        <w:rPr>
          <w:sz w:val="20"/>
        </w:rPr>
      </w:r>
      <w:r>
        <w:rPr>
          <w:b/>
          <w:sz w:val="20"/>
        </w:rPr>
        <w:t>6. Wdrożyć abandoned cart emails w edrone</w:t>
      </w:r>
      <w:r>
        <w:rPr>
          <w:sz w:val="20"/>
        </w:rPr>
      </w:r>
    </w:p>
    <w:p>
      <w:pPr>
        <w:pStyle w:val="ListBullet"/>
        <w:spacing w:after="40"/>
        <w:ind w:left="283"/>
      </w:pPr>
      <w:r>
        <w:rPr>
          <w:sz w:val="20"/>
        </w:rPr>
        <w:t>edrone posiada gotowy moduł abandoned cart</w:t>
      </w:r>
    </w:p>
    <w:p>
      <w:pPr>
        <w:pStyle w:val="ListBullet"/>
        <w:spacing w:after="40"/>
        <w:ind w:left="283"/>
      </w:pPr>
      <w:r>
        <w:rPr>
          <w:sz w:val="20"/>
        </w:rPr>
        <w:t>Sekwencja: 1h po porzuceniu (bez rabatu) → 24h (z 5% rabatu) → 72h (ostatnia szansa)</w:t>
      </w:r>
    </w:p>
    <w:p>
      <w:pPr>
        <w:pStyle w:val="ListBullet"/>
        <w:spacing w:after="40"/>
        <w:ind w:left="283"/>
      </w:pPr>
      <w:r>
        <w:rPr>
          <w:sz w:val="20"/>
        </w:rPr>
        <w:t>Cel: odzysk 2–3% z 32 240 porzuconych koszyków = +640–970 transakcji/msc = +800 000–1 200 000 PLN/rok</w:t>
      </w:r>
    </w:p>
    <w:p>
      <w:pPr>
        <w:spacing w:after="80"/>
      </w:pPr>
      <w:r>
        <w:rPr>
          <w:sz w:val="20"/>
        </w:rPr>
      </w:r>
      <w:r>
        <w:rPr>
          <w:b/>
          <w:sz w:val="20"/>
        </w:rPr>
        <w:t>7. Naprawić lejek checkout — zmniejszyć drop-off z 68% do 50%</w:t>
      </w:r>
      <w:r>
        <w:rPr>
          <w:sz w:val="20"/>
        </w:rPr>
      </w:r>
    </w:p>
    <w:p>
      <w:pPr>
        <w:pStyle w:val="ListBullet"/>
        <w:spacing w:after="40"/>
        <w:ind w:left="283"/>
      </w:pPr>
      <w:r>
        <w:rPr>
          <w:sz w:val="20"/>
        </w:rPr>
        <w:t>Analiza heatmap mobile na stronie checkout (Clarity lub Hotjar)</w:t>
      </w:r>
    </w:p>
    <w:p>
      <w:pPr>
        <w:pStyle w:val="ListBullet"/>
        <w:spacing w:after="40"/>
        <w:ind w:left="283"/>
      </w:pPr>
      <w:r>
        <w:rPr>
          <w:sz w:val="20"/>
        </w:rPr>
        <w:t>Uprościć formularz (autouzupełnianie adresu, mniejsza liczba pól)</w:t>
      </w:r>
    </w:p>
    <w:p>
      <w:pPr>
        <w:pStyle w:val="ListBullet"/>
        <w:spacing w:after="40"/>
        <w:ind w:left="283"/>
      </w:pPr>
      <w:r>
        <w:rPr>
          <w:sz w:val="20"/>
        </w:rPr>
        <w:t>Dodać progress bar (użytkownik widzi etap procesu)</w:t>
      </w:r>
    </w:p>
    <w:p>
      <w:pPr>
        <w:pStyle w:val="ListBullet"/>
        <w:spacing w:after="40"/>
        <w:ind w:left="283"/>
      </w:pPr>
      <w:r>
        <w:rPr>
          <w:sz w:val="20"/>
        </w:rPr>
        <w:t>Sprawdzić opcje płatności — czy Klarna, PayU, BLIK są dostępne</w:t>
      </w:r>
    </w:p>
    <w:p>
      <w:pPr>
        <w:spacing w:after="80"/>
      </w:pPr>
      <w:r>
        <w:rPr>
          <w:sz w:val="20"/>
        </w:rPr>
      </w:r>
      <w:r>
        <w:rPr>
          <w:b/>
          <w:sz w:val="20"/>
        </w:rPr>
        <w:t>8. Oznaczyć UTM linki organiczne Meta</w:t>
      </w:r>
      <w:r>
        <w:rPr>
          <w:sz w:val="20"/>
        </w:rPr>
      </w:r>
    </w:p>
    <w:p>
      <w:pPr>
        <w:pStyle w:val="ListBullet"/>
        <w:spacing w:after="40"/>
        <w:ind w:left="283"/>
      </w:pPr>
      <w:r>
        <w:rPr>
          <w:sz w:val="20"/>
        </w:rPr>
        <w:t>Dla każdego postu organicznego na Facebooku/Instagramie dodawać UTM: ?utm_source=facebook&amp;utm_medium=social&amp;utm_campaign=organic_post</w:t>
      </w:r>
    </w:p>
    <w:p>
      <w:pPr>
        <w:pStyle w:val="ListBullet"/>
        <w:spacing w:after="40"/>
        <w:ind w:left="283"/>
      </w:pPr>
      <w:r>
        <w:rPr>
          <w:sz w:val="20"/>
        </w:rPr>
        <w:t>Efekt: 4 887 sesji/msc zmienia klasyfikację z referral na social/organic → spójne raportowanie</w:t>
      </w:r>
    </w:p>
    <w:p>
      <w:pPr>
        <w:spacing w:after="80"/>
      </w:pPr>
      <w:r>
        <w:rPr>
          <w:sz w:val="20"/>
        </w:rPr>
      </w:r>
      <w:r>
        <w:rPr>
          <w:b/>
          <w:sz w:val="20"/>
        </w:rPr>
        <w:t>9. Wdrożyć Consent Mode v2 prawidłowo</w:t>
      </w:r>
      <w:r>
        <w:rPr>
          <w:sz w:val="20"/>
        </w:rPr>
      </w:r>
    </w:p>
    <w:p>
      <w:pPr>
        <w:pStyle w:val="ListBullet"/>
        <w:spacing w:after="40"/>
        <w:ind w:left="283"/>
      </w:pPr>
      <w:r>
        <w:rPr>
          <w:sz w:val="20"/>
        </w:rPr>
        <w:t>Sprawdzić w GTM czy Cookiebot tag jest w triggerze "Consent Initialization"</w:t>
      </w:r>
    </w:p>
    <w:p>
      <w:pPr>
        <w:pStyle w:val="ListBullet"/>
        <w:spacing w:after="40"/>
        <w:ind w:left="283"/>
      </w:pPr>
      <w:r>
        <w:rPr>
          <w:sz w:val="20"/>
        </w:rPr>
        <w:t>Sprawdzić czy wszystkie tagi mają ustawione wymagania zgody</w:t>
      </w:r>
    </w:p>
    <w:p>
      <w:pPr>
        <w:pStyle w:val="ListBullet"/>
        <w:spacing w:after="40"/>
        <w:ind w:left="283"/>
      </w:pPr>
      <w:r>
        <w:rPr>
          <w:sz w:val="20"/>
        </w:rPr>
        <w:t>Przetestować z DevTools: incognito → odmówić zgody → sprawdzić Network</w:t>
      </w:r>
    </w:p>
    <w:p>
      <w:pPr>
        <w:spacing w:after="80"/>
      </w:pPr>
    </w:p>
    <w:p>
      <w:pPr>
        <w:spacing w:before="120" w:after="80"/>
      </w:pPr>
      <w:r>
        <w:rPr>
          <w:b/>
          <w:color w:val="0F3D66"/>
          <w:sz w:val="22"/>
        </w:rPr>
        <w:t>🟢 Miesiąc 2–3 — Skalowanie i strategia</w:t>
      </w:r>
    </w:p>
    <w:p>
      <w:pPr>
        <w:spacing w:after="80"/>
      </w:pPr>
      <w:r>
        <w:rPr>
          <w:sz w:val="20"/>
        </w:rPr>
      </w:r>
      <w:r>
        <w:rPr>
          <w:b/>
          <w:sz w:val="20"/>
        </w:rPr>
        <w:t>10. Analiza BCG po naprawie items[]</w:t>
      </w:r>
      <w:r>
        <w:rPr>
          <w:sz w:val="20"/>
        </w:rPr>
      </w:r>
    </w:p>
    <w:p>
      <w:pPr>
        <w:pStyle w:val="ListBullet"/>
        <w:spacing w:after="40"/>
        <w:ind w:left="283"/>
      </w:pPr>
      <w:r>
        <w:rPr>
          <w:sz w:val="20"/>
        </w:rPr>
        <w:t>Po naprawieniu DataLayer items[] (punkt 2) — po 30 dniach pojawią się dane produktowe</w:t>
      </w:r>
    </w:p>
    <w:p>
      <w:pPr>
        <w:pStyle w:val="ListBullet"/>
        <w:spacing w:after="40"/>
        <w:ind w:left="283"/>
      </w:pPr>
      <w:r>
        <w:rPr>
          <w:sz w:val="20"/>
        </w:rPr>
        <w:t>Przeprowadzić analizę BCG: podzielić produkty na Gwiazdy/Dojne Krowy/Znaki Zapytania/Psy</w:t>
      </w:r>
    </w:p>
    <w:p>
      <w:pPr>
        <w:pStyle w:val="ListBullet"/>
        <w:spacing w:after="40"/>
        <w:ind w:left="283"/>
      </w:pPr>
      <w:r>
        <w:rPr>
          <w:sz w:val="20"/>
        </w:rPr>
        <w:t>Wydzielić asset groups w PMax per kategoria BCG</w:t>
      </w:r>
    </w:p>
    <w:p>
      <w:pPr>
        <w:spacing w:after="80"/>
      </w:pPr>
      <w:r>
        <w:rPr>
          <w:sz w:val="20"/>
        </w:rPr>
      </w:r>
      <w:r>
        <w:rPr>
          <w:b/>
          <w:sz w:val="20"/>
        </w:rPr>
        <w:t>11. Skalować Bing Ads</w:t>
      </w:r>
      <w:r>
        <w:rPr>
          <w:sz w:val="20"/>
        </w:rPr>
      </w:r>
    </w:p>
    <w:p>
      <w:pPr>
        <w:pStyle w:val="ListBullet"/>
        <w:spacing w:after="40"/>
        <w:ind w:left="283"/>
      </w:pPr>
      <w:r>
        <w:rPr>
          <w:sz w:val="20"/>
        </w:rPr>
        <w:t>Bing organic: 2 801 sesji, Rev/sesja = 9.43 PLN (najlepsza efektywność!)</w:t>
      </w:r>
    </w:p>
    <w:p>
      <w:pPr>
        <w:pStyle w:val="ListBullet"/>
        <w:spacing w:after="40"/>
        <w:ind w:left="283"/>
      </w:pPr>
      <w:r>
        <w:rPr>
          <w:sz w:val="20"/>
        </w:rPr>
        <w:t>Wdrożyć kampanie Microsoft Advertising z tym samym feedem</w:t>
      </w:r>
    </w:p>
    <w:p>
      <w:pPr>
        <w:pStyle w:val="ListBullet"/>
        <w:spacing w:after="40"/>
        <w:ind w:left="283"/>
      </w:pPr>
      <w:r>
        <w:rPr>
          <w:sz w:val="20"/>
        </w:rPr>
        <w:t>Potencjał: 10× skalowanie = 28 000 sesji × 9.43 PLN = ~264 000 PLN/msc</w:t>
      </w:r>
    </w:p>
    <w:p>
      <w:pPr>
        <w:spacing w:after="80"/>
      </w:pPr>
      <w:r>
        <w:rPr>
          <w:sz w:val="20"/>
        </w:rPr>
      </w:r>
      <w:r>
        <w:rPr>
          <w:b/>
          <w:sz w:val="20"/>
        </w:rPr>
        <w:t>12. Wdrożyć sGTM (GTM Server-Side)</w:t>
      </w:r>
      <w:r>
        <w:rPr>
          <w:sz w:val="20"/>
        </w:rPr>
      </w:r>
    </w:p>
    <w:p>
      <w:pPr>
        <w:pStyle w:val="ListBullet"/>
        <w:spacing w:after="40"/>
        <w:ind w:left="283"/>
      </w:pPr>
      <w:r>
        <w:rPr>
          <w:sz w:val="20"/>
        </w:rPr>
        <w:t>Eliminuje duplikacje na poziomie serwera, nie klienta</w:t>
      </w:r>
    </w:p>
    <w:p>
      <w:pPr>
        <w:pStyle w:val="ListBullet"/>
        <w:spacing w:after="40"/>
        <w:ind w:left="283"/>
      </w:pPr>
      <w:r>
        <w:rPr>
          <w:sz w:val="20"/>
        </w:rPr>
        <w:t>Poprawia jakość Consent Mode i 1st-party cookies</w:t>
      </w:r>
    </w:p>
    <w:p>
      <w:pPr>
        <w:pStyle w:val="ListBullet"/>
        <w:spacing w:after="40"/>
        <w:ind w:left="283"/>
      </w:pPr>
      <w:r>
        <w:rPr>
          <w:sz w:val="20"/>
        </w:rPr>
        <w:t>Prerequisite: domena 1st-party (np. analytics.patrizia.aryton.pl)</w:t>
      </w:r>
    </w:p>
    <w:p>
      <w:pPr>
        <w:spacing w:after="80"/>
      </w:pPr>
      <w:r>
        <w:rPr>
          <w:sz w:val="20"/>
        </w:rPr>
      </w:r>
      <w:r>
        <w:rPr>
          <w:b/>
          <w:sz w:val="20"/>
        </w:rPr>
        <w:t>13. Filtrowanie ruchu wewnętrznego</w:t>
      </w:r>
      <w:r>
        <w:rPr>
          <w:sz w:val="20"/>
        </w:rPr>
      </w:r>
    </w:p>
    <w:p>
      <w:pPr>
        <w:pStyle w:val="ListBullet"/>
        <w:spacing w:after="40"/>
        <w:ind w:left="283"/>
      </w:pPr>
      <w:r>
        <w:rPr>
          <w:sz w:val="20"/>
        </w:rPr>
        <w:t>GA4 → Filtry → dodać filtr hostname dla arytondev.local</w:t>
      </w:r>
    </w:p>
    <w:p>
      <w:pPr>
        <w:pStyle w:val="ListBullet"/>
        <w:spacing w:after="40"/>
        <w:ind w:left="283"/>
      </w:pPr>
      <w:r>
        <w:rPr>
          <w:sz w:val="20"/>
        </w:rPr>
        <w:t>Opcjonalnie: filtr zakresu IP biura Aryton</w:t>
      </w:r>
    </w:p>
    <w:p>
      <w:pPr>
        <w:spacing w:after="80"/>
      </w:pPr>
      <w:r>
        <w:rPr>
          <w:sz w:val="20"/>
        </w:rPr>
      </w:r>
      <w:r>
        <w:rPr>
          <w:b/>
          <w:sz w:val="20"/>
        </w:rPr>
        <w:t>14. Aktywować SMS remarketing z prawidłowym tracking</w:t>
      </w:r>
      <w:r>
        <w:rPr>
          <w:sz w:val="20"/>
        </w:rPr>
      </w:r>
    </w:p>
    <w:p>
      <w:pPr>
        <w:pStyle w:val="ListBullet"/>
        <w:spacing w:after="40"/>
        <w:ind w:left="283"/>
      </w:pPr>
      <w:r>
        <w:rPr>
          <w:sz w:val="20"/>
        </w:rPr>
        <w:t>Sprawdzić landing pages z linków SMS</w:t>
      </w:r>
    </w:p>
    <w:p>
      <w:pPr>
        <w:pStyle w:val="ListBullet"/>
        <w:spacing w:after="40"/>
        <w:ind w:left="283"/>
      </w:pPr>
      <w:r>
        <w:rPr>
          <w:sz w:val="20"/>
        </w:rPr>
        <w:t>Dodać prawidłowe UTM + deep linki do produktów</w:t>
      </w:r>
    </w:p>
    <w:p>
      <w:pPr>
        <w:pStyle w:val="ListBullet"/>
        <w:spacing w:after="40"/>
        <w:ind w:left="283"/>
      </w:pPr>
      <w:r>
        <w:rPr>
          <w:sz w:val="20"/>
        </w:rPr>
        <w:t>Zmierzyć CR po naprawie</w:t>
      </w:r>
    </w:p>
    <w:p>
      <w:pPr>
        <w:spacing w:after="80"/>
      </w:pPr>
    </w:p>
    <w:p>
      <w:pPr>
        <w:spacing w:before="200" w:after="80"/>
      </w:pPr>
      <w:r>
        <w:rPr>
          <w:b/>
          <w:color w:val="16213E"/>
          <w:sz w:val="26"/>
        </w:rPr>
        <w:t>Podsumowanie — co jest najważniejsze</w:t>
      </w:r>
    </w:p>
    <w:p>
      <w:pPr>
        <w:spacing w:after="80"/>
      </w:pPr>
      <w:r>
        <w:rPr>
          <w:sz w:val="20"/>
        </w:rPr>
        <w:t>Strona patrizia.aryton.pl generuje ~515 556 PLN/miesiąc przy 413 zamówieniach (AOV 1 248 PLN). To solidna baza dla marki premium. Jednak infrastruktura technologiczna ma krytyczne luki, które:</w:t>
      </w:r>
    </w:p>
    <w:p>
      <w:pPr>
        <w:pStyle w:val="ListNumber"/>
        <w:spacing w:after="40"/>
        <w:ind w:left="283"/>
      </w:pPr>
      <w:r>
        <w:rPr>
          <w:sz w:val="20"/>
        </w:rPr>
      </w:r>
      <w:r>
        <w:rPr>
          <w:b/>
          <w:sz w:val="20"/>
        </w:rPr>
        <w:t>Kłamią</w:t>
      </w:r>
      <w:r>
        <w:rPr>
          <w:sz w:val="20"/>
        </w:rPr>
        <w:t>— duplikaty purchase 3.83× = kampanie "widzą" 4× więcej konwersji niż jest</w:t>
      </w:r>
    </w:p>
    <w:p>
      <w:pPr>
        <w:pStyle w:val="ListNumber"/>
        <w:spacing w:after="40"/>
        <w:ind w:left="283"/>
      </w:pPr>
      <w:r>
        <w:rPr>
          <w:sz w:val="20"/>
        </w:rPr>
      </w:r>
      <w:r>
        <w:rPr>
          <w:b/>
          <w:sz w:val="20"/>
        </w:rPr>
        <w:t>Ślepią</w:t>
      </w:r>
      <w:r>
        <w:rPr>
          <w:sz w:val="20"/>
        </w:rPr>
        <w:t>— itemRevenue=0 = nie wiadomo które produkty sprzedają</w:t>
      </w:r>
    </w:p>
    <w:p>
      <w:pPr>
        <w:pStyle w:val="ListNumber"/>
        <w:spacing w:after="40"/>
        <w:ind w:left="283"/>
      </w:pPr>
      <w:r>
        <w:rPr>
          <w:sz w:val="20"/>
        </w:rPr>
      </w:r>
      <w:r>
        <w:rPr>
          <w:b/>
          <w:sz w:val="20"/>
        </w:rPr>
        <w:t>Marnują szanse</w:t>
      </w:r>
      <w:r>
        <w:rPr>
          <w:sz w:val="20"/>
        </w:rPr>
        <w:t>— mobile CR 2.6× niższy = ~100 000–500 000 PLN/msc potencjału nieodrobionego</w:t>
      </w:r>
    </w:p>
    <w:p>
      <w:pPr>
        <w:pStyle w:val="ListNumber"/>
        <w:spacing w:after="40"/>
        <w:ind w:left="283"/>
      </w:pPr>
      <w:r>
        <w:rPr>
          <w:sz w:val="20"/>
        </w:rPr>
      </w:r>
      <w:r>
        <w:rPr>
          <w:b/>
          <w:sz w:val="20"/>
        </w:rPr>
        <w:t>Gubiąa pieniądze</w:t>
      </w:r>
      <w:r>
        <w:rPr>
          <w:sz w:val="20"/>
        </w:rPr>
        <w:t>— checkout drop-off 68% = 2 na 3 gotowych kupujących rezygnuje</w:t>
      </w:r>
    </w:p>
    <w:p>
      <w:pPr>
        <w:spacing w:after="80"/>
      </w:pPr>
      <w:r>
        <w:rPr>
          <w:sz w:val="20"/>
        </w:rPr>
        <w:t>Naprawienie pierwszych 4 punktów (wyłączenie hardcoded GA4, naprawa DataLayer items[], url_passthrough, wykluczenia referral) jest możliwe w</w:t>
      </w:r>
      <w:r>
        <w:rPr>
          <w:b/>
          <w:sz w:val="20"/>
        </w:rPr>
        <w:t>48 godzin przez jednego dewelopera</w:t>
      </w:r>
      <w:r>
        <w:rPr>
          <w:sz w:val="20"/>
        </w:rPr>
        <w:t>i powinno być traktowane jako absolutny priorytet.</w:t>
      </w:r>
    </w:p>
    <w:p>
      <w:pPr>
        <w:spacing w:after="80"/>
      </w:pPr>
      <w:r>
        <w:rPr>
          <w:sz w:val="20"/>
        </w:rPr>
        <w:t>Optimalizacja UX mobile i wdrożenie abandoned cart emails (punkty 5 i 6) to 4–6 tygodni pracy i potencjał</w:t>
      </w:r>
      <w:r>
        <w:rPr>
          <w:b/>
          <w:sz w:val="20"/>
        </w:rPr>
        <w:t>1–2 mln PLN/rok</w:t>
      </w:r>
      <w:r>
        <w:rPr>
          <w:sz w:val="20"/>
        </w:rPr>
        <w:t>dodatkowego przychodu.</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