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F497D"/>
          <w:sz w:val="32"/>
        </w:rPr>
        <w:t>Raport Audytu GA4 — Aryton (Patrizia)</w:t>
      </w:r>
    </w:p>
    <w:p/>
    <w:p>
      <w:pPr>
        <w:spacing w:after="80"/>
      </w:pPr>
      <w:r>
        <w:rPr>
          <w:rFonts w:ascii="Calibri" w:hAnsi="Calibri"/>
          <w:b/>
          <w:sz w:val="21"/>
        </w:rPr>
        <w:t>Data:</w:t>
      </w:r>
      <w:r>
        <w:rPr>
          <w:rFonts w:ascii="Calibri" w:hAnsi="Calibri"/>
          <w:sz w:val="21"/>
        </w:rPr>
        <w:t xml:space="preserve"> 2026-04-03</w:t>
      </w:r>
    </w:p>
    <w:p>
      <w:pPr>
        <w:spacing w:after="80"/>
      </w:pPr>
      <w:r>
        <w:rPr>
          <w:rFonts w:ascii="Calibri" w:hAnsi="Calibri"/>
          <w:b/>
          <w:sz w:val="21"/>
        </w:rPr>
        <w:t>Audytor:</w:t>
      </w:r>
      <w:r>
        <w:rPr>
          <w:rFonts w:ascii="Calibri" w:hAnsi="Calibri"/>
          <w:sz w:val="21"/>
        </w:rPr>
        <w:t xml:space="preserve"> Adrian Andrzejczyk</w:t>
      </w:r>
    </w:p>
    <w:p>
      <w:pPr>
        <w:spacing w:after="80"/>
      </w:pPr>
      <w:r>
        <w:rPr>
          <w:rFonts w:ascii="Calibri" w:hAnsi="Calibri"/>
          <w:b/>
          <w:sz w:val="21"/>
        </w:rPr>
        <w:t>GA4 Property:</w:t>
      </w:r>
      <w:r>
        <w:rPr>
          <w:rFonts w:ascii="Calibri" w:hAnsi="Calibri"/>
          <w:sz w:val="21"/>
        </w:rPr>
        <w:t xml:space="preserve"> www.aryton.pl – GA4 (ID: 326801658)</w:t>
      </w:r>
    </w:p>
    <w:p>
      <w:pPr>
        <w:spacing w:after="80"/>
      </w:pPr>
      <w:r>
        <w:rPr>
          <w:rFonts w:ascii="Calibri" w:hAnsi="Calibri"/>
          <w:b/>
          <w:sz w:val="21"/>
        </w:rPr>
        <w:t>Measurement ID:</w:t>
      </w:r>
      <w:r>
        <w:rPr>
          <w:rFonts w:ascii="Calibri" w:hAnsi="Calibri"/>
          <w:sz w:val="21"/>
        </w:rPr>
        <w:t xml:space="preserve"> G-93NK3C48R3</w:t>
      </w:r>
    </w:p>
    <w:p>
      <w:pPr>
        <w:spacing w:after="80"/>
      </w:pPr>
      <w:r>
        <w:rPr>
          <w:rFonts w:ascii="Calibri" w:hAnsi="Calibri"/>
          <w:b/>
          <w:sz w:val="21"/>
        </w:rPr>
        <w:t>GTM Container:</w:t>
      </w:r>
      <w:r>
        <w:rPr>
          <w:rFonts w:ascii="Calibri" w:hAnsi="Calibri"/>
          <w:sz w:val="21"/>
        </w:rPr>
        <w:t xml:space="preserve"> GTM-MDGSP8</w:t>
      </w:r>
    </w:p>
    <w:p>
      <w:pPr>
        <w:spacing w:after="80"/>
      </w:pPr>
      <w:r>
        <w:rPr>
          <w:rFonts w:ascii="Calibri" w:hAnsi="Calibri"/>
          <w:b/>
          <w:sz w:val="21"/>
        </w:rPr>
        <w:t>URL strony:</w:t>
      </w:r>
      <w:r>
        <w:rPr>
          <w:rFonts w:ascii="Calibri" w:hAnsi="Calibri"/>
          <w:sz w:val="21"/>
        </w:rPr>
        <w:t xml:space="preserve"> https://patrizia.aryton.pl/</w:t>
      </w:r>
    </w:p>
    <w:p>
      <w:pPr>
        <w:spacing w:after="80"/>
      </w:pPr>
      <w:r>
        <w:rPr>
          <w:rFonts w:ascii="Calibri" w:hAnsi="Calibri"/>
          <w:b/>
          <w:sz w:val="21"/>
        </w:rPr>
        <w:t>Typ biznesu:</w:t>
      </w:r>
      <w:r>
        <w:rPr>
          <w:rFonts w:ascii="Calibri" w:hAnsi="Calibri"/>
          <w:sz w:val="21"/>
        </w:rPr>
        <w:t xml:space="preserve"> E-commerce (odzież premium)</w:t>
      </w:r>
    </w:p>
    <w:p>
      <w:pPr>
        <w:spacing w:after="80"/>
      </w:pPr>
      <w:r>
        <w:rPr>
          <w:rFonts w:ascii="Calibri" w:hAnsi="Calibri"/>
          <w:b/>
          <w:sz w:val="21"/>
        </w:rPr>
        <w:t>Strumień danych:</w:t>
      </w:r>
      <w:r>
        <w:rPr>
          <w:rFonts w:ascii="Calibri" w:hAnsi="Calibri"/>
          <w:sz w:val="21"/>
        </w:rPr>
        <w:t xml:space="preserve"> patrizia.aryton.pl – GA4 (ID: 3954589560)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CZĘŚĆ I — PODSUMOWANIE WYKONAWCZE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Wyniki sekcji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Sekcja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Uzyskane pkt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Max pkt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Wynik %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Ocena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1. Audyt Wstępny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37%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Krytyczny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2. ePrivacy / Consent Mode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10%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Krytyczny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3. Konfiguracja GA4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28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42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67%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BF8F00"/>
                <w:sz w:val="19"/>
              </w:rPr>
              <w:t>⚠️ Wymaga poprawy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4. Data Quality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47%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Krytyczny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5. UTM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36%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Krytyczny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**ŁĄCZNIE**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**62**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**138**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**45%**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**❌ Krytyczny**</w:t>
            </w:r>
          </w:p>
        </w:tc>
      </w:tr>
    </w:tbl>
    <w:p/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Jakość danych — CZY DANYM MOŻNA UFAĆ?</w:t>
      </w:r>
    </w:p>
    <w:p/>
    <w:p>
      <w:pPr>
        <w:spacing w:after="80"/>
      </w:pPr>
      <w:r>
        <w:rPr>
          <w:rFonts w:ascii="Calibri" w:hAnsi="Calibri"/>
          <w:b/>
          <w:sz w:val="21"/>
        </w:rPr>
        <w:t>Częściowo. Z istotnymi zastrzeżeniami.</w:t>
      </w:r>
    </w:p>
    <w:p/>
    <w:p>
      <w:pPr>
        <w:spacing w:after="80"/>
      </w:pPr>
      <w:r>
        <w:rPr>
          <w:rFonts w:ascii="Calibri" w:hAnsi="Calibri"/>
          <w:sz w:val="21"/>
        </w:rPr>
        <w:t xml:space="preserve">Wykryto krytyczny błąd: GA4 jest wdrożone podwójnie — raz przez GTM, raz hardcoded bezpośrednio w HTML strony. Skutkiem jest </w:t>
      </w:r>
      <w:r>
        <w:rPr>
          <w:rFonts w:ascii="Calibri" w:hAnsi="Calibri"/>
          <w:b/>
          <w:sz w:val="21"/>
        </w:rPr>
        <w:t>zawyżenie zdarzeń i transakcji</w:t>
      </w:r>
      <w:r>
        <w:rPr>
          <w:rFonts w:ascii="Calibri" w:hAnsi="Calibri"/>
          <w:sz w:val="21"/>
        </w:rPr>
        <w:t xml:space="preserve">. Najsilniejszym dowodem jest anomalia w lejku zakupowym: odnotowano </w:t>
      </w:r>
      <w:r>
        <w:rPr>
          <w:rFonts w:ascii="Calibri" w:hAnsi="Calibri"/>
          <w:b/>
          <w:sz w:val="21"/>
        </w:rPr>
        <w:t>7 604 zakupów przy zaledwie 5 860 rozpoczętych checkoutach</w:t>
      </w:r>
      <w:r>
        <w:rPr>
          <w:rFonts w:ascii="Calibri" w:hAnsi="Calibri"/>
          <w:sz w:val="21"/>
        </w:rPr>
        <w:t xml:space="preserve"> — co jest matematycznie niemożliwe i jednoznacznie wskazuje na podwójne liczenie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>. Dane o transakcjach i przychodach nie są wiarygodne.</w:t>
      </w:r>
    </w:p>
    <w:p/>
    <w:p>
      <w:pPr>
        <w:spacing w:after="80"/>
      </w:pPr>
      <w:r>
        <w:rPr>
          <w:rFonts w:ascii="Calibri" w:hAnsi="Calibri"/>
          <w:sz w:val="21"/>
        </w:rPr>
        <w:t>Dane jakościowe (sesje, źródła ruchu, zaangażowanie) są w większości poprawne — udział (not set) wynosi jedynie 2,1%, co jest wynikiem dobrym. Natomiast obecność bramek pocztowych (onet.pl, wp.pl, o2.pl) i bramki płatności Klarna w referral wskazuje na brak konfiguracji wykluczeń, co zaburza atrybucję transakcji.</w:t>
      </w:r>
    </w:p>
    <w:p/>
    <w:p>
      <w:pPr>
        <w:spacing w:after="80"/>
      </w:pPr>
      <w:r>
        <w:rPr>
          <w:rFonts w:ascii="Calibri" w:hAnsi="Calibri"/>
          <w:b/>
          <w:sz w:val="21"/>
        </w:rPr>
        <w:t>Co można analizować:</w:t>
      </w:r>
      <w:r>
        <w:rPr>
          <w:rFonts w:ascii="Calibri" w:hAnsi="Calibri"/>
          <w:sz w:val="21"/>
        </w:rPr>
        <w:t xml:space="preserve"> trendy ruchu, kanały pozyskania, zachowanie użytkowników.</w:t>
      </w:r>
    </w:p>
    <w:p>
      <w:pPr>
        <w:spacing w:after="80"/>
      </w:pPr>
      <w:r>
        <w:rPr>
          <w:rFonts w:ascii="Calibri" w:hAnsi="Calibri"/>
          <w:b/>
          <w:sz w:val="21"/>
        </w:rPr>
        <w:t>Czego nie można analizować wiarygodnie:</w:t>
      </w:r>
      <w:r>
        <w:rPr>
          <w:rFonts w:ascii="Calibri" w:hAnsi="Calibri"/>
          <w:sz w:val="21"/>
        </w:rPr>
        <w:t xml:space="preserve"> liczba transakcji, przychód, ROAS kampanii, skuteczność lejka e-commerce — do czasu naprawy podwójnego wdrożenia GA4.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Konfiguracja GA4</w:t>
      </w:r>
    </w:p>
    <w:p/>
    <w:p>
      <w:pPr>
        <w:spacing w:after="80"/>
      </w:pPr>
      <w:r>
        <w:rPr>
          <w:rFonts w:ascii="Calibri" w:hAnsi="Calibri"/>
          <w:sz w:val="21"/>
        </w:rPr>
        <w:t>Podstawowe ustawienia konta są poprawne: właściwa strefa czasowa (Europa/Warszawa), waluta PLN, retencja danych ustawiona na 14 miesięcy, Google Signals włączone, model atrybucji data-driven, eksport do BigQuery aktywny, Google Ads podłączone z włączonymi reklamami spersonalizowanymi.</w:t>
      </w:r>
    </w:p>
    <w:p/>
    <w:p>
      <w:pPr>
        <w:spacing w:after="80"/>
      </w:pPr>
      <w:r>
        <w:rPr>
          <w:rFonts w:ascii="Calibri" w:hAnsi="Calibri"/>
          <w:sz w:val="21"/>
        </w:rPr>
        <w:t xml:space="preserve">Istotne braki: jako konwersja oznaczony jest wyłącznie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 xml:space="preserve"> — brakuje kluczowych zdarzeń pośrednich (</w:t>
      </w:r>
      <w:r>
        <w:rPr>
          <w:rFonts w:ascii="Courier New" w:hAnsi="Courier New"/>
          <w:color w:val="C7254E"/>
          <w:sz w:val="19"/>
        </w:rPr>
        <w:t>begin_checkout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add_to_cart</w:t>
      </w:r>
      <w:r>
        <w:rPr>
          <w:rFonts w:ascii="Calibri" w:hAnsi="Calibri"/>
          <w:color w:val="C00000"/>
          <w:sz w:val="21"/>
        </w:rPr>
        <w:t xml:space="preserve">), które umożliwiają optymalizację kampanii. Nie wykryto filtrów wykluczających ruch deweloperski (w referral pojawia się </w:t>
      </w:r>
      <w:r>
        <w:rPr>
          <w:rFonts w:ascii="Courier New" w:hAnsi="Courier New"/>
          <w:color w:val="C7254E"/>
          <w:sz w:val="19"/>
        </w:rPr>
        <w:t>dev18.arytondev.local</w:t>
      </w:r>
      <w:r>
        <w:rPr>
          <w:rFonts w:ascii="Calibri" w:hAnsi="Calibri"/>
          <w:sz w:val="21"/>
        </w:rPr>
        <w:t>). Bramki pocztowe i Klarna nie są wykluczone ze źródeł referral.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Infrastruktura (GTM)</w:t>
      </w:r>
    </w:p>
    <w:p/>
    <w:p>
      <w:pPr>
        <w:spacing w:after="80"/>
      </w:pPr>
      <w:r>
        <w:rPr>
          <w:rFonts w:ascii="Calibri" w:hAnsi="Calibri"/>
          <w:sz w:val="21"/>
        </w:rPr>
        <w:t>GTM-MDGSP8 jest aktywny na stronie, jednak implementacja zawiera poważne błędy architektoniczne: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GA4 i Google Ads są wdrożone </w:t>
      </w:r>
      <w:r>
        <w:rPr>
          <w:rFonts w:ascii="Calibri" w:hAnsi="Calibri"/>
          <w:b/>
          <w:sz w:val="21"/>
        </w:rPr>
        <w:t>poza GTM</w:t>
      </w:r>
      <w:r>
        <w:rPr>
          <w:rFonts w:ascii="Calibri" w:hAnsi="Calibri"/>
          <w:sz w:val="21"/>
        </w:rPr>
        <w:t>, bezpośrednio w HTML — co podważa sens używania GTM jako centralnego punktu zarządzania tagami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Consent Mode jest zdefiniowany w złej kolejności (po GTM zamiast przed)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Brak widocznego banera cookies — strona nie umożliwia użytkownikom zarządzania zgodami</w:t>
      </w:r>
    </w:p>
    <w:p/>
    <w:p>
      <w:pPr>
        <w:spacing w:after="80"/>
      </w:pPr>
      <w:r>
        <w:rPr>
          <w:rFonts w:ascii="Calibri" w:hAnsi="Calibri"/>
          <w:sz w:val="21"/>
        </w:rPr>
        <w:t>GTM Server Side nie jest wdrożony — to szansa na usprawnienie w przyszłości.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Kluczowe wnioski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🔴 </w:t>
      </w:r>
      <w:r>
        <w:rPr>
          <w:rFonts w:ascii="Calibri" w:hAnsi="Calibri"/>
          <w:b/>
          <w:sz w:val="21"/>
        </w:rPr>
        <w:t>Podwójne wdrożenie GA4</w:t>
      </w:r>
      <w:r>
        <w:rPr>
          <w:rFonts w:ascii="Calibri" w:hAnsi="Calibri"/>
          <w:sz w:val="21"/>
        </w:rPr>
        <w:t xml:space="preserve"> —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 xml:space="preserve"> jest liczony 2x, dane o przychodach i transakcjach są niewiarygodne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🔴 </w:t>
      </w:r>
      <w:r>
        <w:rPr>
          <w:rFonts w:ascii="Calibri" w:hAnsi="Calibri"/>
          <w:b/>
          <w:sz w:val="21"/>
        </w:rPr>
        <w:t>Brak banera cookies (CMP)</w:t>
      </w:r>
      <w:r>
        <w:rPr>
          <w:rFonts w:ascii="Calibri" w:hAnsi="Calibri"/>
          <w:sz w:val="21"/>
        </w:rPr>
        <w:t xml:space="preserve"> — naruszenie RODO, użytkownik nie może zarządzać zgodami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🔴 </w:t>
      </w:r>
      <w:r>
        <w:rPr>
          <w:rFonts w:ascii="Calibri" w:hAnsi="Calibri"/>
          <w:b/>
          <w:sz w:val="21"/>
        </w:rPr>
        <w:t>Błędna kolejność Consent Mode</w:t>
      </w:r>
      <w:r>
        <w:rPr>
          <w:rFonts w:ascii="Calibri" w:hAnsi="Calibri"/>
          <w:sz w:val="21"/>
        </w:rPr>
        <w:t xml:space="preserve"> — consent default ustawiony po GTM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🔴 </w:t>
      </w:r>
      <w:r>
        <w:rPr>
          <w:rFonts w:ascii="Calibri" w:hAnsi="Calibri"/>
          <w:b/>
          <w:sz w:val="21"/>
        </w:rPr>
        <w:t>Klarna i bramki pocztowe w referral</w:t>
      </w:r>
      <w:r>
        <w:rPr>
          <w:rFonts w:ascii="Calibri" w:hAnsi="Calibri"/>
          <w:sz w:val="21"/>
        </w:rPr>
        <w:t xml:space="preserve"> — atrybucja transakcji jest zaburzona</w:t>
      </w:r>
    </w:p>
    <w:p>
      <w:pPr>
        <w:pStyle w:val="ListBullet"/>
        <w:spacing w:after="40"/>
        <w:ind w:left="0"/>
      </w:pPr>
      <w:r>
        <w:rPr>
          <w:rFonts w:ascii="Calibri" w:hAnsi="Calibri"/>
          <w:color w:val="BF8F00"/>
          <w:sz w:val="21"/>
        </w:rPr>
        <w:t xml:space="preserve">⚠️ </w:t>
      </w:r>
      <w:r>
        <w:rPr>
          <w:rFonts w:ascii="Calibri" w:hAnsi="Calibri"/>
          <w:b/>
          <w:sz w:val="21"/>
        </w:rPr>
        <w:t>Fragmentacja UTM dla Meta/Instagram</w:t>
      </w:r>
      <w:r>
        <w:rPr>
          <w:rFonts w:ascii="Calibri" w:hAnsi="Calibri"/>
          <w:sz w:val="21"/>
        </w:rPr>
        <w:t xml:space="preserve"> — 5 wariantów źródła Facebook, 3 warianty Instagram = fałszywe zaniżenie wyników kampanii social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CZĘŚĆ II — OMÓWIENIE SZCZEGÓŁOWE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SEKCJA 1 — Audyt Wstępny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1.1 Adnotacje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Wysoki</w:t>
      </w:r>
    </w:p>
    <w:p/>
    <w:p>
      <w:pPr>
        <w:spacing w:after="80"/>
      </w:pPr>
      <w:r>
        <w:rPr>
          <w:rFonts w:ascii="Calibri" w:hAnsi="Calibri"/>
          <w:sz w:val="21"/>
        </w:rPr>
        <w:t>Adnotacje to notatki dodawane do osi czasu Google Analytics, które zaznaczają ważne zdarzenia — wdrożenia techniczne, starty kampanii, zmiany na stronie. Dzięki nim analityk może wyjaśnić każdą anomalię w danych historycznych bez konieczności przeszukiwania innych systemów. Firma bez adnotacji traci możliwość rzetelnej interpretacji danych po czasie.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🔒 Nie zweryfikowano — brak dostępu do panelu GA4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1.2 Kolejność skryptów w kodzie HTML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Wysoki</w:t>
      </w:r>
    </w:p>
    <w:p/>
    <w:p>
      <w:pPr>
        <w:spacing w:after="80"/>
      </w:pPr>
      <w:r>
        <w:rPr>
          <w:rFonts w:ascii="Calibri" w:hAnsi="Calibri"/>
          <w:sz w:val="21"/>
        </w:rPr>
        <w:t>Przeglądarka wczytuje kod strony od góry do dołu — kolejność skryptów ma bezpośredni wpływ na to, czy dane są zbierane zgodnie z prawem i prawidłowo. Prawidłowa kolejność to: najpierw ustawienie domyślnej odmowy zgody (consent default), następnie warstwa danych (dataLayer), a dopiero potem GTM.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krytyczny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Wykryta kolejność na patrizia.aryton.pl: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GTM snippet (GTM-MDGSP8) — ŁADUJE SIĘ JAKO PIERWSZY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Deklaracje zmiennych i schema.org</w:t>
      </w:r>
    </w:p>
    <w:p>
      <w:pPr>
        <w:pStyle w:val="ListBullet"/>
        <w:spacing w:after="40"/>
        <w:ind w:left="0"/>
      </w:pPr>
      <w:r>
        <w:rPr>
          <w:rFonts w:ascii="Courier New" w:hAnsi="Courier New"/>
          <w:color w:val="C7254E"/>
          <w:sz w:val="19"/>
        </w:rPr>
        <w:t>gtag('consent', 'default', {...})</w:t>
      </w:r>
      <w:r>
        <w:rPr>
          <w:rFonts w:ascii="Calibri" w:hAnsi="Calibri"/>
          <w:sz w:val="21"/>
        </w:rPr>
        <w:t xml:space="preserve"> — za późno</w:t>
      </w:r>
    </w:p>
    <w:p/>
    <w:p>
      <w:pPr>
        <w:spacing w:after="80"/>
      </w:pPr>
      <w:r>
        <w:rPr>
          <w:rFonts w:ascii="Calibri" w:hAnsi="Calibri"/>
          <w:sz w:val="21"/>
        </w:rPr>
        <w:t>Consent default jest ustawiany po GTM, co oznacza, że tagi w GTM mogą się zainicjować jeszcze przed ustawieniem domyślnych wartości zgody. To podważa działanie Consent Mode V2 i jest niezgodne z wymaganiami Google.</w:t>
      </w:r>
    </w:p>
    <w:p/>
    <w:p>
      <w:pPr>
        <w:spacing w:after="80"/>
      </w:pPr>
      <w:r>
        <w:rPr>
          <w:rFonts w:ascii="Calibri" w:hAnsi="Calibri"/>
          <w:b/>
          <w:sz w:val="21"/>
        </w:rPr>
        <w:t>Rekomendacja:</w:t>
      </w:r>
      <w:r>
        <w:rPr>
          <w:rFonts w:ascii="Calibri" w:hAnsi="Calibri"/>
          <w:sz w:val="21"/>
        </w:rPr>
        <w:t xml:space="preserve"> Przenieść blok </w:t>
      </w:r>
      <w:r>
        <w:rPr>
          <w:rFonts w:ascii="Courier New" w:hAnsi="Courier New"/>
          <w:color w:val="C7254E"/>
          <w:sz w:val="19"/>
        </w:rPr>
        <w:t>gtag('consent', 'default', {...})</w:t>
      </w:r>
      <w:r>
        <w:rPr>
          <w:rFonts w:ascii="Calibri" w:hAnsi="Calibri"/>
          <w:sz w:val="21"/>
        </w:rPr>
        <w:t xml:space="preserve"> bezpośrednio przed GTM snippet w </w:t>
      </w:r>
      <w:r>
        <w:rPr>
          <w:rFonts w:ascii="Courier New" w:hAnsi="Courier New"/>
          <w:color w:val="C7254E"/>
          <w:sz w:val="19"/>
        </w:rPr>
        <w:t>&lt;head&gt;</w:t>
      </w:r>
      <w:r>
        <w:rPr>
          <w:rFonts w:ascii="Calibri" w:hAnsi="Calibri"/>
          <w:sz w:val="21"/>
        </w:rPr>
        <w:t>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1.3 Przegląd wybranych podstron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Wysoki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⚠️ Częściowo zweryfikowane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Analiza kodu strony głównej i strony kategorii wykazała działające GTM, GA4 i Facebook Pixel. Strona produktu zwróciła 404 przy testowaniu przez URL </w:t>
      </w:r>
      <w:r>
        <w:rPr>
          <w:rFonts w:ascii="Courier New" w:hAnsi="Courier New"/>
          <w:color w:val="C7254E"/>
          <w:sz w:val="19"/>
        </w:rPr>
        <w:t>/p/{id}-{slug}</w:t>
      </w:r>
      <w:r>
        <w:rPr>
          <w:rFonts w:ascii="Calibri" w:hAnsi="Calibri"/>
          <w:sz w:val="21"/>
        </w:rPr>
        <w:t xml:space="preserve"> — wymaga weryfikacji w przeglądarce.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1.4 Google Tag Assistant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Niski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🔒 Wymaga manualnej weryfikacji w przeglądarce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1.5 TagHound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Wysoki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🔒 Wymaga manualnej weryfikacji w narzędziu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1.6 Consent Mode — wstępna weryfikacja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Średni</w:t>
      </w:r>
    </w:p>
    <w:p/>
    <w:p>
      <w:pPr>
        <w:spacing w:after="80"/>
      </w:pPr>
      <w:r>
        <w:rPr>
          <w:rFonts w:ascii="Calibri" w:hAnsi="Calibri"/>
          <w:color w:val="BF8F00"/>
          <w:sz w:val="21"/>
        </w:rPr>
        <w:t>Consent Mode to system Google pozwalający na modelowanie konwersji nawet bez zgody na cookies, poprzez przesyłanie anonimowych sygnałów. Wymaga on jednak poprawnej implementacji banera cookies, który aktualizuje zgody.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krytyczny — brak banera cookies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Strona używa modułu psgdpr (PrestaShop GDPR), który obsługuje wyłącznie zgody w formularzach. Brak banera przy wejściu na stronę = użytkownik nie może wyrazić ani odmówić zgody na cookies analityczne i reklamowe.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1.7 Brak starych kodów UA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Niski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Brak śladów Universal Analytics. Jedyne aktywne kody to GA4 i Google Ads.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1.8 DataLayer — poprawność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Wysoki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⚠️ Do weryfikacji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DataLayer istnieje i jest inicjalizowany przez GTM. Pełna weryfikacja struktury push-ów wymaga inspekcji w DevTools podczas interakcji użytkownika.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1.9 DataLayer GA4 — struktura e-commerce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Wysoki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⚠️ Częściowo zweryfikowane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Na stronie kategorii wykryto zdarzenie </w:t>
      </w:r>
      <w:r>
        <w:rPr>
          <w:rFonts w:ascii="Courier New" w:hAnsi="Courier New"/>
          <w:color w:val="C7254E"/>
          <w:sz w:val="19"/>
        </w:rPr>
        <w:t>view_item_list</w:t>
      </w:r>
      <w:r>
        <w:rPr>
          <w:rFonts w:ascii="Calibri" w:hAnsi="Calibri"/>
          <w:sz w:val="21"/>
        </w:rPr>
        <w:t xml:space="preserve"> wywoływane przez </w:t>
      </w:r>
      <w:r>
        <w:rPr>
          <w:rFonts w:ascii="Courier New" w:hAnsi="Courier New"/>
          <w:color w:val="C7254E"/>
          <w:sz w:val="19"/>
        </w:rPr>
        <w:t>gtag('event', ...)</w:t>
      </w:r>
      <w:r>
        <w:rPr>
          <w:rFonts w:ascii="Calibri" w:hAnsi="Calibri"/>
          <w:sz w:val="21"/>
        </w:rPr>
        <w:t xml:space="preserve"> bezpośrednio (nie przez </w:t>
      </w:r>
      <w:r>
        <w:rPr>
          <w:rFonts w:ascii="Courier New" w:hAnsi="Courier New"/>
          <w:color w:val="C7254E"/>
          <w:sz w:val="19"/>
        </w:rPr>
        <w:t>dataLayer.push</w:t>
      </w:r>
      <w:r>
        <w:rPr>
          <w:rFonts w:ascii="Calibri" w:hAnsi="Calibri"/>
          <w:sz w:val="21"/>
        </w:rPr>
        <w:t xml:space="preserve">). To mieszana implementacja — wymaga weryfikacji struktury obiektów </w:t>
      </w:r>
      <w:r>
        <w:rPr>
          <w:rFonts w:ascii="Courier New" w:hAnsi="Courier New"/>
          <w:color w:val="C7254E"/>
          <w:sz w:val="19"/>
        </w:rPr>
        <w:t>items[]</w:t>
      </w:r>
      <w:r>
        <w:rPr>
          <w:rFonts w:ascii="Calibri" w:hAnsi="Calibri"/>
          <w:sz w:val="21"/>
        </w:rPr>
        <w:t xml:space="preserve"> w DevTools.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1.10–1.20 Wykryte integracje na stronie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Zidentyfikowano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Narzędzie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GTM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GTM-MDGSP8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Aktywny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GA4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G-93NK3C48R3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Podwójnie wdrożone (GTM + hardcoded)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Google Ads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AW-769585117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Hardcoded poza GTM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Facebook Pixel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268133950519975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Aktywny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Edrone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v8.1.7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Aktywny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Klarna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Aktywny (⚠️ nie wykluczony z referral)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EqualWeb (accessibility)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Aktywny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LinkedIn Insight Tag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➖ Nie wykryto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Pinterest Tag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➖ Nie wykryto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Microsoft Clarity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➖ Nie wykryto</w:t>
            </w:r>
          </w:p>
        </w:tc>
      </w:tr>
    </w:tbl>
    <w:p/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SEKCJA 2 — ePrivacy / Consent Mode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2.1–2.2 Baner cookies — personalizacja i odrzucenie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Niski–Niski</w:t>
      </w:r>
    </w:p>
    <w:p/>
    <w:p>
      <w:pPr>
        <w:spacing w:after="80"/>
      </w:pPr>
      <w:r>
        <w:rPr>
          <w:rFonts w:ascii="Calibri" w:hAnsi="Calibri"/>
          <w:sz w:val="21"/>
        </w:rPr>
        <w:t>RODO wymaga granularnej zgody użytkownika na poszczególne kategorie cookies oraz możliwości ich odrzucenia.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— brak banera cookies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2.3 Strona domyślnie zablokowana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Wysoki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krytyczny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Brak banera = brak blokowania. Użytkownik może swobodnie przeglądać stronę bez podejmowania jakiejkolwiek decyzji dotyczącej prywatności.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2.4 Skuteczne blokowanie cookies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Wysoki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Niemożliwe do oceny — brak CMP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Mimo że </w:t>
      </w:r>
      <w:r>
        <w:rPr>
          <w:rFonts w:ascii="Courier New" w:hAnsi="Courier New"/>
          <w:color w:val="C7254E"/>
          <w:sz w:val="19"/>
        </w:rPr>
        <w:t>gtag('consent', 'default', {...})</w:t>
      </w:r>
      <w:r>
        <w:rPr>
          <w:rFonts w:ascii="Calibri" w:hAnsi="Calibri"/>
          <w:sz w:val="21"/>
        </w:rPr>
        <w:t xml:space="preserve"> jest ustawiony z </w:t>
      </w:r>
      <w:r>
        <w:rPr>
          <w:rFonts w:ascii="Courier New" w:hAnsi="Courier New"/>
          <w:color w:val="C7254E"/>
          <w:sz w:val="19"/>
        </w:rPr>
        <w:t>analytics_storage: denied</w:t>
      </w:r>
      <w:r>
        <w:rPr>
          <w:rFonts w:ascii="Calibri" w:hAnsi="Calibri"/>
          <w:sz w:val="21"/>
        </w:rPr>
        <w:t xml:space="preserve">, brak banera oznacza że zgoda nigdy nie jest aktualizowana do </w:t>
      </w:r>
      <w:r>
        <w:rPr>
          <w:rFonts w:ascii="Courier New" w:hAnsi="Courier New"/>
          <w:color w:val="C7254E"/>
          <w:sz w:val="19"/>
        </w:rPr>
        <w:t>granted</w:t>
      </w:r>
      <w:r>
        <w:rPr>
          <w:rFonts w:ascii="Calibri" w:hAnsi="Calibri"/>
          <w:sz w:val="21"/>
        </w:rPr>
        <w:t xml:space="preserve">. W praktyce GA4 prawdopodobnie nie zbiera danych analitycznych dla żadnego użytkownika, który nie wyraził zgody — co może oznaczać że </w:t>
      </w:r>
      <w:r>
        <w:rPr>
          <w:rFonts w:ascii="Calibri" w:hAnsi="Calibri"/>
          <w:b/>
          <w:sz w:val="21"/>
        </w:rPr>
        <w:t>zbieramy tylko ułamek rzeczywistego ruchu</w:t>
      </w:r>
      <w:r>
        <w:rPr>
          <w:rFonts w:ascii="Calibri" w:hAnsi="Calibri"/>
          <w:sz w:val="21"/>
        </w:rPr>
        <w:t>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2.5–2.16 Pozostałe punkty Consent Mode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Niemożliwe do pełnej oceny bez CMP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Po wdrożeniu CMP należy przeprowadzić ponowną weryfikację: wywołania consent update w DataLayer, blokowania tagów w GTM, ustawień Consent Initialization, wysyłania PING-ów.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2.17 url_passthrough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Wysoki</w:t>
      </w:r>
    </w:p>
    <w:p/>
    <w:p>
      <w:pPr>
        <w:spacing w:after="80"/>
      </w:pPr>
      <w:r>
        <w:rPr>
          <w:rFonts w:ascii="Courier New" w:hAnsi="Courier New"/>
          <w:color w:val="C7254E"/>
          <w:sz w:val="19"/>
        </w:rPr>
        <w:t>url_passthrough</w:t>
      </w:r>
      <w:r>
        <w:rPr>
          <w:rFonts w:ascii="Calibri" w:hAnsi="Calibri"/>
          <w:sz w:val="21"/>
        </w:rPr>
        <w:t xml:space="preserve"> umożliwia modelowanie konwersji dla użytkowników bez cookies, przez przekazywanie parametrów w URL.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🔒 Wymaga weryfikacji w GTM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2.18–2.20 Dane wrażliwe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Wysoki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Brak oczywistych problemów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Wstępna analiza źródeł ruchu i referrali nie wykazała adresów email ani danych osobowych w URL-ach. Pełna weryfikacja parametrów zdarzeń wymaga przeglądu w BigQuery.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SEKCJA 3 — Konfiguracja GA4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3A — Konfiguracja GTM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3.1 Walidacja GTM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— GTM-MDGSP8 jest aktywny na stronie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3.2 Powiadomienia i błędy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🔒 Wymaga dostępu do panelu GTM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3.3 Consent settings dla tagów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🔒 Wymaga dostępu do panelu GTM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3.4 Conversion Linker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🔒 Wymaga weryfikacji w GTM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3.7 Brak kodów UA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— brak tagów UA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3.8 GA4 wdrożone przez GTM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krytyczny</w:t>
      </w:r>
    </w:p>
    <w:p/>
    <w:p>
      <w:pPr>
        <w:spacing w:after="80"/>
      </w:pPr>
      <w:r>
        <w:rPr>
          <w:rFonts w:ascii="Calibri" w:hAnsi="Calibri"/>
          <w:sz w:val="21"/>
        </w:rPr>
        <w:t>GA4 jest wdrożone zarówno przez GTM jak i hardcoded bezpośrednio w HTML strony:</w:t>
      </w:r>
    </w:p>
    <w:p>
      <w:pPr>
        <w:spacing w:after="80"/>
      </w:pPr>
      <w:r>
        <w:rPr>
          <w:rFonts w:ascii="Calibri" w:hAnsi="Calibri"/>
          <w:sz w:val="21"/>
        </w:rPr>
        <w:t>```javascript</w:t>
      </w:r>
    </w:p>
    <w:p>
      <w:pPr>
        <w:spacing w:after="80"/>
      </w:pPr>
      <w:r>
        <w:rPr>
          <w:rFonts w:ascii="Calibri" w:hAnsi="Calibri"/>
          <w:sz w:val="21"/>
        </w:rPr>
        <w:t>// Bezpośrednio w HTML — poza GTM:</w:t>
      </w:r>
    </w:p>
    <w:p>
      <w:pPr>
        <w:spacing w:after="80"/>
      </w:pPr>
      <w:r>
        <w:rPr>
          <w:rFonts w:ascii="Calibri" w:hAnsi="Calibri"/>
          <w:sz w:val="21"/>
        </w:rPr>
        <w:t>gtag('js', new Date());</w:t>
      </w:r>
    </w:p>
    <w:p>
      <w:pPr>
        <w:spacing w:after="80"/>
      </w:pPr>
      <w:r>
        <w:rPr>
          <w:rFonts w:ascii="Calibri" w:hAnsi="Calibri"/>
          <w:sz w:val="21"/>
        </w:rPr>
        <w:t>gtag('config', 'G-93NK3C48R3', { 'send</w:t>
      </w:r>
      <w:r>
        <w:rPr>
          <w:rFonts w:ascii="Calibri" w:hAnsi="Calibri"/>
          <w:i/>
          <w:sz w:val="21"/>
        </w:rPr>
        <w:t>page</w:t>
      </w:r>
      <w:r>
        <w:rPr>
          <w:rFonts w:ascii="Calibri" w:hAnsi="Calibri"/>
          <w:sz w:val="21"/>
        </w:rPr>
        <w:t>view': true });</w:t>
      </w:r>
    </w:p>
    <w:p>
      <w:pPr>
        <w:spacing w:after="80"/>
      </w:pPr>
      <w:r>
        <w:rPr>
          <w:rFonts w:ascii="Courier New" w:hAnsi="Courier New"/>
          <w:color w:val="C7254E"/>
          <w:sz w:val="19"/>
        </w:rPr>
        <w:t>`</w:t>
      </w:r>
    </w:p>
    <w:p>
      <w:pPr>
        <w:spacing w:after="80"/>
      </w:pPr>
      <w:r>
        <w:rPr>
          <w:rFonts w:ascii="Calibri" w:hAnsi="Calibri"/>
          <w:sz w:val="21"/>
        </w:rPr>
        <w:t>Skutkuje to podwójnym liczeniem WSZYSTKICH zdarzeń GA4. Potwierdzenie w danych: purchase (7 604) &gt; begin_checkout (5 860) — matematycznie niemożliwe bez duplikacji.</w:t>
      </w:r>
    </w:p>
    <w:p/>
    <w:p>
      <w:pPr>
        <w:spacing w:after="80"/>
      </w:pPr>
      <w:r>
        <w:rPr>
          <w:rFonts w:ascii="Calibri" w:hAnsi="Calibri"/>
          <w:b/>
          <w:sz w:val="21"/>
        </w:rPr>
        <w:t>Rekomendacja:</w:t>
      </w:r>
      <w:r>
        <w:rPr>
          <w:rFonts w:ascii="Calibri" w:hAnsi="Calibri"/>
          <w:sz w:val="21"/>
        </w:rPr>
        <w:t xml:space="preserve"> Usunąć hardcoded GA4 z HTML. GA4 powinno być wdrożone WYŁĄCZNIE przez GTM.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3B — GTM Server Side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➖ Nie dotyczy — sGTM nie jest wdrożony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3C — Konfiguracja GA4 (Konto i Administracja)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3.21 Alerty i powiadomienia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🔒 Wymaga weryfikacji w panelu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3.24 Weryfikacja uprawnień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🔒 Wymaga weryfikacji w panelu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3D — Ustawienia Usługi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Parametr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Wartość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Ocena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Nazwa usługi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www.aryton.pl – GA4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Strefa czasowa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Europe/Warsaw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Waluta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PLN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Branża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26 (Odzież i akcesoria)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Poziom usługi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Standard (nie 360)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ℹ️</w:t>
            </w:r>
          </w:p>
        </w:tc>
      </w:tr>
    </w:tbl>
    <w:p/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3E — Zbieranie i modyfikowanie danych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3.30 Google Signals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— Google Signals włączone (state=1)</w:t>
      </w:r>
    </w:p>
    <w:p/>
    <w:p>
      <w:pPr>
        <w:spacing w:after="80"/>
      </w:pPr>
      <w:r>
        <w:rPr>
          <w:rFonts w:ascii="Calibri" w:hAnsi="Calibri"/>
          <w:sz w:val="21"/>
        </w:rPr>
        <w:t>Google Signals łączy dane o użytkownikach korzystających z wielu urządzeń, jeśli są zalogowani do konta Google. Dzięki temu raportowanie cross-device jest bardziej precyzyjne.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3.34 Retencja danych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— ustawione 14 miesięcy (retention=3)</w:t>
      </w:r>
    </w:p>
    <w:p/>
    <w:p>
      <w:pPr>
        <w:spacing w:after="80"/>
      </w:pPr>
      <w:r>
        <w:rPr>
          <w:rFonts w:ascii="Calibri" w:hAnsi="Calibri"/>
          <w:sz w:val="21"/>
        </w:rPr>
        <w:t>Maksymalny dostępny czas przechowywania danych szczegółowych. Wiele kont ma domyślne 2 miesiące — tutaj jest poprawnie.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3.36 Filtry danych — ruch wewnętrzny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Brak pełnej konfiguracji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W danych referral wykryto </w:t>
      </w:r>
      <w:r>
        <w:rPr>
          <w:rFonts w:ascii="Courier New" w:hAnsi="Courier New"/>
          <w:color w:val="C7254E"/>
          <w:sz w:val="19"/>
        </w:rPr>
        <w:t>dev18.arytondev.local / referral</w:t>
      </w:r>
      <w:r>
        <w:rPr>
          <w:rFonts w:ascii="Calibri" w:hAnsi="Calibri"/>
          <w:sz w:val="21"/>
        </w:rPr>
        <w:t xml:space="preserve"> (13 sesji) oraz </w:t>
      </w:r>
      <w:r>
        <w:rPr>
          <w:rFonts w:ascii="Courier New" w:hAnsi="Courier New"/>
          <w:color w:val="C7254E"/>
          <w:sz w:val="19"/>
        </w:rPr>
        <w:t>arytonpl.sharepoint.com / referral</w:t>
      </w:r>
      <w:r>
        <w:rPr>
          <w:rFonts w:ascii="Calibri" w:hAnsi="Calibri"/>
          <w:sz w:val="21"/>
        </w:rPr>
        <w:t xml:space="preserve"> (49 sesji). Sugeruje to, że ruch deweloperski i wewnętrzny nie jest w pełni filtrowany.</w:t>
      </w:r>
    </w:p>
    <w:p/>
    <w:p>
      <w:pPr>
        <w:spacing w:after="80"/>
      </w:pPr>
      <w:r>
        <w:rPr>
          <w:rFonts w:ascii="Calibri" w:hAnsi="Calibri"/>
          <w:b/>
          <w:sz w:val="21"/>
        </w:rPr>
        <w:t>Rekomendacja:</w:t>
      </w:r>
      <w:r>
        <w:rPr>
          <w:rFonts w:ascii="Calibri" w:hAnsi="Calibri"/>
          <w:sz w:val="21"/>
        </w:rPr>
        <w:t xml:space="preserve"> Skonfigurować filtr ruchu wewnętrznego w GA4 → Admin → Filtry danych oraz dodać </w:t>
      </w:r>
      <w:r>
        <w:rPr>
          <w:rFonts w:ascii="Courier New" w:hAnsi="Courier New"/>
          <w:color w:val="C7254E"/>
          <w:sz w:val="19"/>
        </w:rPr>
        <w:t>dev18.arytondev.local</w:t>
      </w:r>
      <w:r>
        <w:rPr>
          <w:rFonts w:ascii="Calibri" w:hAnsi="Calibri"/>
          <w:sz w:val="21"/>
        </w:rPr>
        <w:t xml:space="preserve"> i </w:t>
      </w:r>
      <w:r>
        <w:rPr>
          <w:rFonts w:ascii="Courier New" w:hAnsi="Courier New"/>
          <w:color w:val="C7254E"/>
          <w:sz w:val="19"/>
        </w:rPr>
        <w:t>arytonpl.sharepoint.com</w:t>
      </w:r>
      <w:r>
        <w:rPr>
          <w:rFonts w:ascii="Calibri" w:hAnsi="Calibri"/>
          <w:sz w:val="21"/>
        </w:rPr>
        <w:t xml:space="preserve"> do listy niechcianych witryn odsyłających.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3F — Strumienie danych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3.37 Strumień Web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— patrizia.aryton.pl – GA4 (ID: 3954589560) aktywny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Wykryto tylko 1 strumień — Web. Brak strumieni iOS/Android (brak aplikacji mobilnej).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3.45 Cross-domain tracking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🔒 Wymaga weryfikacji w ustawieniach strumienia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3.52–3.53 Wykluczenie bramek pocztowych i płatności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krytyczny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W danych referral widoczne są:</w:t>
      </w:r>
    </w:p>
    <w:p>
      <w:pPr>
        <w:pStyle w:val="ListBullet"/>
        <w:spacing w:after="40"/>
        <w:ind w:left="0"/>
      </w:pPr>
      <w:r>
        <w:rPr>
          <w:rFonts w:ascii="Calibri" w:hAnsi="Calibri"/>
          <w:b/>
          <w:sz w:val="21"/>
        </w:rPr>
        <w:t>Bramki pocztowe:</w:t>
      </w:r>
      <w:r>
        <w:rPr>
          <w:rFonts w:ascii="Calibri" w:hAnsi="Calibri"/>
          <w:sz w:val="21"/>
        </w:rPr>
        <w:t xml:space="preserve"> poczta.onet.pl (637 sesji), poczta.wp.pl (411), poczta.o2.pl (202), poczta.interia.pl (174) — łącznie </w:t>
      </w:r>
      <w:r>
        <w:rPr>
          <w:rFonts w:ascii="Calibri" w:hAnsi="Calibri"/>
          <w:b/>
          <w:sz w:val="21"/>
        </w:rPr>
        <w:t>1 424 sesje</w:t>
      </w:r>
      <w:r>
        <w:rPr>
          <w:rFonts w:ascii="Calibri" w:hAnsi="Calibri"/>
          <w:sz w:val="21"/>
        </w:rPr>
        <w:t xml:space="preserve"> z poczty wpadają jako referral zamiast email</w:t>
      </w:r>
    </w:p>
    <w:p>
      <w:pPr>
        <w:pStyle w:val="ListBullet"/>
        <w:spacing w:after="40"/>
        <w:ind w:left="0"/>
      </w:pPr>
      <w:r>
        <w:rPr>
          <w:rFonts w:ascii="Calibri" w:hAnsi="Calibri"/>
          <w:b/>
          <w:sz w:val="21"/>
        </w:rPr>
        <w:t>Bramka płatności:</w:t>
      </w:r>
      <w:r>
        <w:rPr>
          <w:rFonts w:ascii="Calibri" w:hAnsi="Calibri"/>
          <w:sz w:val="21"/>
        </w:rPr>
        <w:t xml:space="preserve"> klarna / referral (</w:t>
      </w:r>
      <w:r>
        <w:rPr>
          <w:rFonts w:ascii="Calibri" w:hAnsi="Calibri"/>
          <w:b/>
          <w:sz w:val="21"/>
        </w:rPr>
        <w:t>174 sesji, 8 transakcji</w:t>
      </w:r>
      <w:r>
        <w:rPr>
          <w:rFonts w:ascii="Calibri" w:hAnsi="Calibri"/>
          <w:sz w:val="21"/>
        </w:rPr>
        <w:t>) — zakupy przez Klarną są błędnie przypisywane jako ruch z Klarna zamiast do właściwego kanału</w:t>
      </w:r>
    </w:p>
    <w:p/>
    <w:p>
      <w:pPr>
        <w:spacing w:after="80"/>
      </w:pPr>
      <w:r>
        <w:rPr>
          <w:rFonts w:ascii="Calibri" w:hAnsi="Calibri"/>
          <w:b/>
          <w:sz w:val="21"/>
        </w:rPr>
        <w:t>Rekomendacja:</w:t>
      </w:r>
      <w:r>
        <w:rPr>
          <w:rFonts w:ascii="Calibri" w:hAnsi="Calibri"/>
          <w:sz w:val="21"/>
        </w:rPr>
        <w:t xml:space="preserve"> Dodać do listy niechcianych witryn odsyłających: poczta.onet.pl, poczta.wp.pl, poczta.o2.pl, poczta.interia.pl, klarna.com i jej warianty.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3G — Zarządzanie strumieniem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3.55 Czas trwania sesji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⚠️ Do weryfikacji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Średni czas sesji wynosi </w:t>
      </w:r>
      <w:r>
        <w:rPr>
          <w:rFonts w:ascii="Calibri" w:hAnsi="Calibri"/>
          <w:b/>
          <w:sz w:val="21"/>
        </w:rPr>
        <w:t>20,4 minuty</w:t>
      </w:r>
      <w:r>
        <w:rPr>
          <w:rFonts w:ascii="Calibri" w:hAnsi="Calibri"/>
          <w:sz w:val="21"/>
        </w:rPr>
        <w:t xml:space="preserve"> — wartość wyjątkowo wysoka, prawdopodobnie sztucznie zawyżona przez podwójne wdrożenie GA4 (sesje są liczone podwójnie co wydłuża czas). Po naprawie duplikacji należy zweryfikować czy czas trwania sesji jest wiarygodny i rozważyć ustawienie go na 5h.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3H — Wyświetlanie danych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3.58 Zdarzenia jako konwersje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Średni</w:t>
      </w:r>
    </w:p>
    <w:p/>
    <w:p>
      <w:pPr>
        <w:spacing w:after="80"/>
      </w:pPr>
      <w:r>
        <w:rPr>
          <w:rFonts w:ascii="Calibri" w:hAnsi="Calibri"/>
          <w:sz w:val="21"/>
        </w:rPr>
        <w:t>Oznaczenie kluczowych zdarzeń jako konwersje umożliwia ich optymalizację w kampaniach reklamowych i śledzenie w raportach konwersji.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⚠️ Niepełne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Jako konwersja oznaczony jest wyłącznie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>. Brakuje:</w:t>
      </w:r>
    </w:p>
    <w:p>
      <w:pPr>
        <w:pStyle w:val="ListBullet"/>
        <w:spacing w:after="40"/>
        <w:ind w:left="0"/>
      </w:pPr>
      <w:r>
        <w:rPr>
          <w:rFonts w:ascii="Courier New" w:hAnsi="Courier New"/>
          <w:color w:val="C7254E"/>
          <w:sz w:val="19"/>
        </w:rPr>
        <w:t>begin_checkout</w:t>
      </w:r>
      <w:r>
        <w:rPr>
          <w:rFonts w:ascii="Calibri" w:hAnsi="Calibri"/>
          <w:sz w:val="21"/>
        </w:rPr>
        <w:t xml:space="preserve"> — optymalizacja kampanii pod inicjowanie zakupu</w:t>
      </w:r>
    </w:p>
    <w:p>
      <w:pPr>
        <w:pStyle w:val="ListBullet"/>
        <w:spacing w:after="40"/>
        <w:ind w:left="0"/>
      </w:pPr>
      <w:r>
        <w:rPr>
          <w:rFonts w:ascii="Courier New" w:hAnsi="Courier New"/>
          <w:color w:val="C7254E"/>
          <w:sz w:val="19"/>
        </w:rPr>
        <w:t>add_to_cart</w:t>
      </w:r>
      <w:r>
        <w:rPr>
          <w:rFonts w:ascii="Calibri" w:hAnsi="Calibri"/>
          <w:sz w:val="21"/>
        </w:rPr>
        <w:t xml:space="preserve"> — opcjonalnie, dla kampanii remarketingowych</w:t>
      </w:r>
    </w:p>
    <w:p/>
    <w:p>
      <w:pPr>
        <w:spacing w:after="80"/>
      </w:pPr>
      <w:r>
        <w:rPr>
          <w:rFonts w:ascii="Calibri" w:hAnsi="Calibri"/>
          <w:b/>
          <w:sz w:val="21"/>
        </w:rPr>
        <w:t>Rekomendacja:</w:t>
      </w:r>
      <w:r>
        <w:rPr>
          <w:rFonts w:ascii="Calibri" w:hAnsi="Calibri"/>
          <w:sz w:val="21"/>
        </w:rPr>
        <w:t xml:space="preserve"> Oznaczyć jako konwersje: </w:t>
      </w:r>
      <w:r>
        <w:rPr>
          <w:rFonts w:ascii="Courier New" w:hAnsi="Courier New"/>
          <w:color w:val="C7254E"/>
          <w:sz w:val="19"/>
        </w:rPr>
        <w:t>begin_checkout</w:t>
      </w:r>
      <w:r>
        <w:rPr>
          <w:rFonts w:ascii="Calibri" w:hAnsi="Calibri"/>
          <w:sz w:val="21"/>
        </w:rPr>
        <w:t xml:space="preserve">, opcjonalnie </w:t>
      </w:r>
      <w:r>
        <w:rPr>
          <w:rFonts w:ascii="Courier New" w:hAnsi="Courier New"/>
          <w:color w:val="C7254E"/>
          <w:sz w:val="19"/>
        </w:rPr>
        <w:t>add_to_cart</w:t>
      </w:r>
      <w:r>
        <w:rPr>
          <w:rFonts w:ascii="Calibri" w:hAnsi="Calibri"/>
          <w:sz w:val="21"/>
        </w:rPr>
        <w:t>.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3.59 Odbiorcy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— 10 grup odbiorców zdefiniowanych: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All Users, Purchasers, Kupili na stronie | 180D, Wyświetlili produkt | 30D, Dodali do koszyka | 14D, + 5 kolejnych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3I — Połączenie usług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Integracja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Uwagi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Google Ads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Podłączone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customer_id: 1968676668, reklamy spersonalizowane: TAK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BigQuery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Podłączone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Daily export aktywny, streaming wyłączony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Search Console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🔒 Nie zweryfikowano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API nie zwróciło danych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Firebase / GA360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707070"/>
                <w:sz w:val="19"/>
              </w:rPr>
              <w:t>➖ Brak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Nie dotyczy</w:t>
            </w:r>
          </w:p>
        </w:tc>
      </w:tr>
    </w:tbl>
    <w:p/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3J — Raporty i alerty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3.64 Model atrybucji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— Data-Driven (reporting</w:t>
      </w:r>
      <w:r>
        <w:rPr>
          <w:rFonts w:ascii="Calibri" w:hAnsi="Calibri"/>
          <w:i/>
          <w:sz w:val="21"/>
        </w:rPr>
        <w:t>attribution</w:t>
      </w:r>
      <w:r>
        <w:rPr>
          <w:rFonts w:ascii="Calibri" w:hAnsi="Calibri"/>
          <w:sz w:val="21"/>
        </w:rPr>
        <w:t>model=1)</w:t>
      </w:r>
    </w:p>
    <w:p/>
    <w:p>
      <w:pPr>
        <w:spacing w:after="80"/>
      </w:pPr>
      <w:r>
        <w:rPr>
          <w:rFonts w:ascii="Calibri" w:hAnsi="Calibri"/>
          <w:sz w:val="21"/>
        </w:rPr>
        <w:t>Najlepsza dostępna opcja — model oparty na danych Google ML.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3.65–3.66 Zasięg i okna konwersji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— acquisition: 30 dni, inne: 90 dni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SEKCJA 4 — Data Quality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4A — Przegląd ruchu (90 dni: 999 044 sesji)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4.1–4.2 Udział (not set) w sesjach i użytkownikach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Metryka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Wartość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Ocena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Sesje (not set)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2,1%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Poniżej 5%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Direct/(none)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5,1%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Normalny poziom</w:t>
            </w:r>
          </w:p>
        </w:tc>
      </w:tr>
    </w:tbl>
    <w:p/>
    <w:p>
      <w:pPr>
        <w:pStyle w:val="Heading4"/>
      </w:pPr>
      <w:r>
        <w:rPr>
          <w:rFonts w:ascii="Calibri" w:hAnsi="Calibri"/>
          <w:color w:val="000000"/>
          <w:sz w:val="22"/>
        </w:rPr>
        <w:t>4.6 Jakość ruchu — rozkład kanałów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Kanał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Sesje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Udział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Cross-network (PMax)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341 645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34,1%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Paid Social (Facebook)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238 537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23,8%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Organic Search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188 470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18,8%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Email (Edrone)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62 703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6,3%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Direct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51 314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5,1%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Display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46 399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4,6%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Paid Search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26 832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2,7%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Unassigned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20 897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2,1%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sz w:val="21"/>
        </w:rPr>
        <w:t>Rozkład wygląda naturalnie dla e-commerce odzieżowego.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4.8–4.9 Bramki płatności i pocztowe w referral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Sesje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Transakcje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poczta.onet.pl w referral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637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poczta.wp.pl w referral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411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poczta.o2.pl w referral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202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poczta.interia.pl w referral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174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klarna / referral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174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8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sz w:val="21"/>
        </w:rPr>
        <w:t>Emaile bez UTM wpadają jako referral z domen poczty. 8 transakcji z Klarna jest błędnie przypisanych.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4B — Jakość sesji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Metryka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Wartość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Ocena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Engagement rate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57,4%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OK (norma: 40–70%)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Avg session duration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20,4 min (1 224s)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Podejrzanie wysoka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Bounce rate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42,6%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OK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Sesje łącznie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999 044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b/>
          <w:sz w:val="21"/>
        </w:rPr>
        <w:t>Uwaga:</w:t>
      </w:r>
      <w:r>
        <w:rPr>
          <w:rFonts w:ascii="Calibri" w:hAnsi="Calibri"/>
          <w:color w:val="BF8F00"/>
          <w:sz w:val="21"/>
        </w:rPr>
        <w:t xml:space="preserve"> Czas sesji 20,4 minuty jest wyjątkowo wysoki dla e-commerce. Standardowo wynosi 3–6 minut. Prawdopodobna przyczyna: podwójne wdrożenie GA4 zaburza czas sesji. Wymaga weryfikacji po naprawie duplikacji.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4C–4D — Analiza (not set) i transakcji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Wymiar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Udział (not set)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Ocena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source/medium (sesje)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2,1%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Transakcje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4,9%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BF8F00"/>
                <w:sz w:val="19"/>
              </w:rPr>
              <w:t>⚠️ Borderline (próg: 5%)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Direct/(none) w transakcjach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5,7%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Suma not set + direct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10,6%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sz w:val="21"/>
        </w:rPr>
        <w:t>104 transakcje (4,9%) bez atrybucji — zbliżone do granicy. Warto monitorować.</w:t>
      </w:r>
    </w:p>
    <w:p/>
    <w:p>
      <w:pPr>
        <w:spacing w:after="80"/>
      </w:pPr>
      <w:r>
        <w:rPr>
          <w:rFonts w:ascii="Calibri" w:hAnsi="Calibri"/>
          <w:b/>
          <w:sz w:val="21"/>
        </w:rPr>
        <w:t>Transakcje TOP source/medium (90 dni):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Kanał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Transakcje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Udział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Przychód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AOV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google / cpc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739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34,9%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933 860 zł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1 264 zł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google / organic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622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29,3%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818 069 zł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1 315 zł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edrone / email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241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11,4%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290 902 zł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1 207 zł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facebook / cpc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142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6,7%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160 035 zł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1 127 zł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(direct) / (none)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120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5,7%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165 328 zł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1 378 zł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**(not set)**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**104**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**4,9%**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77 920 zł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749 zł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bing / organic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69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3,3%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85 184 zł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1 235 zł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b/>
          <w:sz w:val="21"/>
        </w:rPr>
        <w:t>Uwaga:</w:t>
      </w:r>
      <w:r>
        <w:rPr>
          <w:rFonts w:ascii="Calibri" w:hAnsi="Calibri"/>
          <w:sz w:val="21"/>
        </w:rPr>
        <w:t xml:space="preserve"> AOV dla (not set) wynosi 749 zł — znacznie niższe niż średnia (~1 250 zł). Może wskazywać na błędy w przypisaniu transakcji lub specyficzny segment.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4E — Lejek e-commerce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Anomalia krytyczna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Zdarzenie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Liczba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Konwersja do następnego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view_item_list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3 255 279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view_item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2 452 704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75,3% 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add_to_cart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156 855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6,4% ✅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begin_checkout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5 860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BF8F00"/>
                <w:sz w:val="19"/>
              </w:rPr>
              <w:t>3,7% ⚠️ bardzo niskie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**purchase**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**7 604**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**129,8%** ❌ NIEMOŻLIWE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b/>
          <w:sz w:val="21"/>
        </w:rPr>
        <w:t>Krytyczna anomalia:</w:t>
      </w:r>
      <w:r>
        <w:rPr>
          <w:rFonts w:ascii="Calibri" w:hAnsi="Calibri"/>
          <w:sz w:val="21"/>
        </w:rPr>
        <w:t xml:space="preserve">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 xml:space="preserve"> (7 604) &gt; </w:t>
      </w:r>
      <w:r>
        <w:rPr>
          <w:rFonts w:ascii="Courier New" w:hAnsi="Courier New"/>
          <w:color w:val="C7254E"/>
          <w:sz w:val="19"/>
        </w:rPr>
        <w:t>begin_checkout</w:t>
      </w:r>
      <w:r>
        <w:rPr>
          <w:rFonts w:ascii="Calibri" w:hAnsi="Calibri"/>
          <w:sz w:val="21"/>
        </w:rPr>
        <w:t xml:space="preserve"> (5 860). W normalnym lejku każdy zakup musi być poprzedzony checkoutem — wynik 129,8% konwersji jest matematycznie niemożliwy i jednoznacznie potwierdza podwójne liczenie zdarzenia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>.</w:t>
      </w:r>
    </w:p>
    <w:p/>
    <w:p>
      <w:pPr>
        <w:spacing w:after="80"/>
      </w:pPr>
      <w:r>
        <w:rPr>
          <w:rFonts w:ascii="Calibri" w:hAnsi="Calibri"/>
          <w:sz w:val="21"/>
        </w:rPr>
        <w:t xml:space="preserve">Dodatkowo: </w:t>
      </w:r>
      <w:r>
        <w:rPr>
          <w:rFonts w:ascii="Courier New" w:hAnsi="Courier New"/>
          <w:color w:val="C7254E"/>
          <w:sz w:val="19"/>
        </w:rPr>
        <w:t>add_shipping_info</w:t>
      </w:r>
      <w:r>
        <w:rPr>
          <w:rFonts w:ascii="Calibri" w:hAnsi="Calibri"/>
          <w:sz w:val="21"/>
        </w:rPr>
        <w:t xml:space="preserve"> (9 746) &gt; </w:t>
      </w:r>
      <w:r>
        <w:rPr>
          <w:rFonts w:ascii="Courier New" w:hAnsi="Courier New"/>
          <w:color w:val="C7254E"/>
          <w:sz w:val="19"/>
        </w:rPr>
        <w:t>begin_checkout</w:t>
      </w:r>
      <w:r>
        <w:rPr>
          <w:rFonts w:ascii="Calibri" w:hAnsi="Calibri"/>
          <w:sz w:val="21"/>
        </w:rPr>
        <w:t xml:space="preserve"> (5 860) — kolejna anomalia wskazująca na problemy z implementacją lub duplikacją.</w:t>
      </w:r>
    </w:p>
    <w:p/>
    <w:p>
      <w:pPr>
        <w:spacing w:after="80"/>
      </w:pPr>
      <w:r>
        <w:rPr>
          <w:rFonts w:ascii="Calibri" w:hAnsi="Calibri"/>
          <w:b/>
          <w:sz w:val="21"/>
        </w:rPr>
        <w:t>Rekomendacja:</w:t>
      </w:r>
      <w:r>
        <w:rPr>
          <w:rFonts w:ascii="Calibri" w:hAnsi="Calibri"/>
          <w:sz w:val="21"/>
        </w:rPr>
        <w:t xml:space="preserve"> Naprawić podwójne wdrożenie GA4 jako priorytet absolutny. Do czasu naprawy dane o transakcjach i przychodach są niewiarygodne.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SEKCJA 5 — UTM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5.1 Standaryzacja UTM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— fragmentacja źródeł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Wykryto poważną fragmentację nazw źródeł dla Meta/Instagram: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Platforma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Warianty w GA4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Sesje razem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Facebook/Meta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facebook, facebook.com, m.facebook.com, l.facebook.com, lm.facebook.com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~251 000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Instagram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l.instagram.com, instagram, instagram.com, ig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~6 000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sz w:val="21"/>
        </w:rPr>
        <w:t>Każdy wariant jest traktowany przez GA4 jako oddzielne źródło. Skutkuje to znacznym zaniżeniem widocznych wyników kampanii Facebook/Instagram, bo ruch jest rozproszony w wielu wierszach. Raport Google Ads "Paid Social" pokazuje 238 537 sesji, ale rzeczywisty ruch z ekosystemu Meta jest wyższy.</w:t>
      </w:r>
    </w:p>
    <w:p/>
    <w:p>
      <w:pPr>
        <w:spacing w:after="80"/>
      </w:pPr>
      <w:r>
        <w:rPr>
          <w:rFonts w:ascii="Calibri" w:hAnsi="Calibri"/>
          <w:b/>
          <w:sz w:val="21"/>
        </w:rPr>
        <w:t>Rekomendacja:</w:t>
      </w:r>
      <w:r>
        <w:rPr>
          <w:rFonts w:ascii="Calibri" w:hAnsi="Calibri"/>
          <w:sz w:val="21"/>
        </w:rPr>
        <w:t xml:space="preserve"> Wdrożyć standaryzację UTM dla wszystkich kampanii Meta: </w:t>
      </w:r>
      <w:r>
        <w:rPr>
          <w:rFonts w:ascii="Courier New" w:hAnsi="Courier New"/>
          <w:color w:val="C7254E"/>
          <w:sz w:val="19"/>
        </w:rPr>
        <w:t>utm_source=facebook&amp;utm_medium=cpc</w:t>
      </w:r>
      <w:r>
        <w:rPr>
          <w:rFonts w:ascii="Calibri" w:hAnsi="Calibri"/>
          <w:sz w:val="21"/>
        </w:rPr>
        <w:t xml:space="preserve"> (dla płatnych) i </w:t>
      </w:r>
      <w:r>
        <w:rPr>
          <w:rFonts w:ascii="Courier New" w:hAnsi="Courier New"/>
          <w:color w:val="C7254E"/>
          <w:sz w:val="19"/>
        </w:rPr>
        <w:t>utm_source=facebook&amp;utm_medium=social</w:t>
      </w:r>
      <w:r>
        <w:rPr>
          <w:rFonts w:ascii="Calibri" w:hAnsi="Calibri"/>
          <w:sz w:val="21"/>
        </w:rPr>
        <w:t xml:space="preserve"> (dla organicznych).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5.2–5.3 Google Ads — UTM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</w:t>
      </w:r>
    </w:p>
    <w:p/>
    <w:p>
      <w:pPr>
        <w:spacing w:after="80"/>
      </w:pPr>
      <w:r>
        <w:rPr>
          <w:rFonts w:ascii="Calibri" w:hAnsi="Calibri"/>
          <w:sz w:val="21"/>
        </w:rPr>
        <w:t xml:space="preserve">Google Ads prawidłowo taguje ruch jako </w:t>
      </w:r>
      <w:r>
        <w:rPr>
          <w:rFonts w:ascii="Courier New" w:hAnsi="Courier New"/>
          <w:color w:val="C7254E"/>
          <w:sz w:val="19"/>
        </w:rPr>
        <w:t>google / cpc</w:t>
      </w:r>
      <w:r>
        <w:rPr>
          <w:rFonts w:ascii="Calibri" w:hAnsi="Calibri"/>
          <w:sz w:val="21"/>
        </w:rPr>
        <w:t>. Obecność kanału Cross-network (341 645 sesji) wskazuje na aktywne kampanie Performance Max — warto zweryfikować czy UTM z kampanii PMax są poprawnie przekazywane.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5.4 Facebook Ads — UTM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⚠️ Wymaga poprawy (fragmentacja)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5.6–5.7 Organiczne social i email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⚠️ Częściowe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Edrone email jest poprawnie tagowany jako </w:t>
      </w:r>
      <w:r>
        <w:rPr>
          <w:rFonts w:ascii="Courier New" w:hAnsi="Courier New"/>
          <w:color w:val="C7254E"/>
          <w:sz w:val="19"/>
        </w:rPr>
        <w:t>edrone / email</w:t>
      </w:r>
      <w:r>
        <w:rPr>
          <w:rFonts w:ascii="Calibri" w:hAnsi="Calibri"/>
          <w:sz w:val="21"/>
        </w:rPr>
        <w:t>. Jednak bramki pocztowe (onet, wp, o2) w referral wskazują że część emaili (być może newsletter inny niż Edrone lub emaile transakcyjne) nie ma UTM.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 dot. SMS:</w:t>
      </w:r>
      <w:r>
        <w:rPr>
          <w:rFonts w:ascii="Calibri" w:hAnsi="Calibri"/>
          <w:sz w:val="21"/>
        </w:rPr>
        <w:t xml:space="preserve"> Ruch SMS jest prawidłowo tagowany jako </w:t>
      </w:r>
      <w:r>
        <w:rPr>
          <w:rFonts w:ascii="Courier New" w:hAnsi="Courier New"/>
          <w:color w:val="C7254E"/>
          <w:sz w:val="19"/>
        </w:rPr>
        <w:t>sms / smsapi</w:t>
      </w:r>
      <w:r>
        <w:rPr>
          <w:rFonts w:ascii="Calibri" w:hAnsi="Calibri"/>
          <w:sz w:val="21"/>
        </w:rPr>
        <w:t>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5.8 Wizytówka Google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— wykryto </w:t>
      </w:r>
      <w:r>
        <w:rPr>
          <w:rFonts w:ascii="Courier New" w:hAnsi="Courier New"/>
          <w:color w:val="C7254E"/>
          <w:sz w:val="19"/>
        </w:rPr>
        <w:t>google / maps</w:t>
      </w:r>
      <w:r>
        <w:rPr>
          <w:rFonts w:ascii="Calibri" w:hAnsi="Calibri"/>
          <w:sz w:val="21"/>
        </w:rPr>
        <w:t xml:space="preserve"> (6 transakcji)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CZĘŚĆ III — REKOMENDACJE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🔴 PILNE — wdrożenie natychmiast</w:t>
      </w:r>
    </w:p>
    <w:p/>
    <w:p>
      <w:pPr>
        <w:spacing w:after="80"/>
      </w:pPr>
      <w:r>
        <w:rPr>
          <w:rFonts w:ascii="Calibri" w:hAnsi="Calibri"/>
          <w:b/>
          <w:sz w:val="21"/>
        </w:rPr>
        <w:t>1. Usunąć hardcoded GA4 i Google Ads z HTML strony</w:t>
      </w:r>
    </w:p>
    <w:p>
      <w:pPr>
        <w:spacing w:after="80"/>
      </w:pPr>
      <w:r>
        <w:rPr>
          <w:rFonts w:ascii="Calibri" w:hAnsi="Calibri"/>
          <w:sz w:val="21"/>
        </w:rPr>
        <w:t>Usunąć z kodu HTML bloki:</w:t>
      </w:r>
    </w:p>
    <w:p>
      <w:pPr>
        <w:spacing w:after="80"/>
      </w:pPr>
      <w:r>
        <w:rPr>
          <w:rFonts w:ascii="Calibri" w:hAnsi="Calibri"/>
          <w:sz w:val="21"/>
        </w:rPr>
        <w:t>```javascript</w:t>
      </w:r>
    </w:p>
    <w:p>
      <w:pPr>
        <w:spacing w:after="80"/>
      </w:pPr>
      <w:r>
        <w:rPr>
          <w:rFonts w:ascii="Calibri" w:hAnsi="Calibri"/>
          <w:sz w:val="21"/>
        </w:rPr>
        <w:t>gtag('js', new Date());</w:t>
      </w:r>
    </w:p>
    <w:p>
      <w:pPr>
        <w:spacing w:after="80"/>
      </w:pPr>
      <w:r>
        <w:rPr>
          <w:rFonts w:ascii="Calibri" w:hAnsi="Calibri"/>
          <w:sz w:val="21"/>
        </w:rPr>
        <w:t>gtag('config', 'G-93NK3C48R3', {...});</w:t>
      </w:r>
    </w:p>
    <w:p>
      <w:pPr>
        <w:spacing w:after="80"/>
      </w:pPr>
      <w:r>
        <w:rPr>
          <w:rFonts w:ascii="Calibri" w:hAnsi="Calibri"/>
          <w:sz w:val="21"/>
        </w:rPr>
        <w:t>gtag('config', 'AW-769585117');</w:t>
      </w:r>
    </w:p>
    <w:p>
      <w:pPr>
        <w:spacing w:after="80"/>
      </w:pPr>
      <w:r>
        <w:rPr>
          <w:rFonts w:ascii="Courier New" w:hAnsi="Courier New"/>
          <w:color w:val="C7254E"/>
          <w:sz w:val="19"/>
        </w:rPr>
        <w:t>`</w:t>
      </w:r>
    </w:p>
    <w:p>
      <w:pPr>
        <w:spacing w:after="80"/>
      </w:pPr>
      <w:r>
        <w:rPr>
          <w:rFonts w:ascii="Calibri" w:hAnsi="Calibri"/>
          <w:sz w:val="21"/>
        </w:rPr>
        <w:t>GA4 i Google Ads powinny być zarządzane WYŁĄCZNIE przez GTM. To naprawi anomalię w lejku (purchase &gt; begin_checkout) i przywróci wiarygodność danych transakcyjnych.</w:t>
      </w:r>
    </w:p>
    <w:p/>
    <w:p>
      <w:pPr>
        <w:spacing w:after="80"/>
      </w:pPr>
      <w:r>
        <w:rPr>
          <w:rFonts w:ascii="Calibri" w:hAnsi="Calibri"/>
          <w:b/>
          <w:sz w:val="21"/>
        </w:rPr>
        <w:t>2. Wdrożyć CMP (baner cookies)</w:t>
      </w:r>
    </w:p>
    <w:p>
      <w:pPr>
        <w:spacing w:after="80"/>
      </w:pPr>
      <w:r>
        <w:rPr>
          <w:rFonts w:ascii="Calibri" w:hAnsi="Calibri"/>
          <w:sz w:val="21"/>
        </w:rPr>
        <w:t>Strona narusza RODO — brak możliwości zarządzania zgodami przez użytkownika. Rekomendowane: Cookiebot lub Axeptio, zintegrowane z GTM przez "Consent Initialization".</w:t>
      </w:r>
    </w:p>
    <w:p/>
    <w:p>
      <w:pPr>
        <w:spacing w:after="80"/>
      </w:pPr>
      <w:r>
        <w:rPr>
          <w:rFonts w:ascii="Calibri" w:hAnsi="Calibri"/>
          <w:b/>
          <w:sz w:val="21"/>
        </w:rPr>
        <w:t>3. Naprawić kolejność skryptów — consent default przed GTM</w:t>
      </w:r>
    </w:p>
    <w:p>
      <w:pPr>
        <w:spacing w:after="80"/>
      </w:pPr>
      <w:r>
        <w:rPr>
          <w:rFonts w:ascii="Calibri" w:hAnsi="Calibri"/>
          <w:sz w:val="21"/>
        </w:rPr>
        <w:t xml:space="preserve">Blok </w:t>
      </w:r>
      <w:r>
        <w:rPr>
          <w:rFonts w:ascii="Courier New" w:hAnsi="Courier New"/>
          <w:color w:val="C7254E"/>
          <w:sz w:val="19"/>
        </w:rPr>
        <w:t>gtag('consent', 'default', {...})</w:t>
      </w:r>
      <w:r>
        <w:rPr>
          <w:rFonts w:ascii="Calibri" w:hAnsi="Calibri"/>
          <w:sz w:val="21"/>
        </w:rPr>
        <w:t xml:space="preserve"> przenieść PRZED GTM snippet w </w:t>
      </w:r>
      <w:r>
        <w:rPr>
          <w:rFonts w:ascii="Courier New" w:hAnsi="Courier New"/>
          <w:color w:val="C7254E"/>
          <w:sz w:val="19"/>
        </w:rPr>
        <w:t>&lt;head&gt;</w:t>
      </w:r>
      <w:r>
        <w:rPr>
          <w:rFonts w:ascii="Calibri" w:hAnsi="Calibri"/>
          <w:sz w:val="21"/>
        </w:rPr>
        <w:t>.</w:t>
      </w:r>
    </w:p>
    <w:p/>
    <w:p>
      <w:pPr>
        <w:spacing w:after="80"/>
      </w:pPr>
      <w:r>
        <w:rPr>
          <w:rFonts w:ascii="Calibri" w:hAnsi="Calibri"/>
          <w:b/>
          <w:sz w:val="21"/>
        </w:rPr>
        <w:t>4. Wykluczyć bramki płatności Klarna z referral</w:t>
      </w:r>
    </w:p>
    <w:p>
      <w:pPr>
        <w:spacing w:after="80"/>
      </w:pPr>
      <w:r>
        <w:rPr>
          <w:rFonts w:ascii="Calibri" w:hAnsi="Calibri"/>
          <w:sz w:val="21"/>
        </w:rPr>
        <w:t xml:space="preserve">GA4 → Strumień → Lista niechcianych witryn: dodać </w:t>
      </w:r>
      <w:r>
        <w:rPr>
          <w:rFonts w:ascii="Courier New" w:hAnsi="Courier New"/>
          <w:color w:val="C7254E"/>
          <w:sz w:val="19"/>
        </w:rPr>
        <w:t>klarna.com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checkout.klarna.com</w:t>
      </w:r>
      <w:r>
        <w:rPr>
          <w:rFonts w:ascii="Calibri" w:hAnsi="Calibri"/>
          <w:sz w:val="21"/>
        </w:rPr>
        <w:t xml:space="preserve"> i warianty. 8 transakcji błędnie przypisanych.</w:t>
      </w:r>
    </w:p>
    <w:p/>
    <w:p>
      <w:pPr>
        <w:spacing w:after="80"/>
      </w:pPr>
      <w:r>
        <w:rPr>
          <w:rFonts w:ascii="Calibri" w:hAnsi="Calibri"/>
          <w:b/>
          <w:sz w:val="21"/>
        </w:rPr>
        <w:t>5. Wykluczyć bramki pocztowe z referral</w:t>
      </w:r>
    </w:p>
    <w:p>
      <w:pPr>
        <w:spacing w:after="80"/>
      </w:pPr>
      <w:r>
        <w:rPr>
          <w:rFonts w:ascii="Calibri" w:hAnsi="Calibri"/>
          <w:sz w:val="21"/>
        </w:rPr>
        <w:t xml:space="preserve">Dodać do listy niechcianych witryn: </w:t>
      </w:r>
      <w:r>
        <w:rPr>
          <w:rFonts w:ascii="Courier New" w:hAnsi="Courier New"/>
          <w:color w:val="C7254E"/>
          <w:sz w:val="19"/>
        </w:rPr>
        <w:t>poczta.onet.pl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poczta.wp.pl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poczta.o2.pl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poczta.interia.pl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mail.google.com</w:t>
      </w:r>
      <w:r>
        <w:rPr>
          <w:rFonts w:ascii="Calibri" w:hAnsi="Calibri"/>
          <w:sz w:val="21"/>
        </w:rPr>
        <w:t>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🟡 DO ZAPLANOWANIA</w:t>
      </w:r>
    </w:p>
    <w:p/>
    <w:p>
      <w:pPr>
        <w:spacing w:after="80"/>
      </w:pPr>
      <w:r>
        <w:rPr>
          <w:rFonts w:ascii="Calibri" w:hAnsi="Calibri"/>
          <w:b/>
          <w:sz w:val="21"/>
        </w:rPr>
        <w:t>6. Oznaczyć `begin_checkout` jako konwersję</w:t>
      </w:r>
    </w:p>
    <w:p>
      <w:pPr>
        <w:spacing w:after="80"/>
      </w:pPr>
      <w:r>
        <w:rPr>
          <w:rFonts w:ascii="Calibri" w:hAnsi="Calibri"/>
          <w:sz w:val="21"/>
        </w:rPr>
        <w:t xml:space="preserve">GA4 → Admin → Konwersje → Dodaj: </w:t>
      </w:r>
      <w:r>
        <w:rPr>
          <w:rFonts w:ascii="Courier New" w:hAnsi="Courier New"/>
          <w:color w:val="C7254E"/>
          <w:sz w:val="19"/>
        </w:rPr>
        <w:t>begin_checkout</w:t>
      </w:r>
      <w:r>
        <w:rPr>
          <w:rFonts w:ascii="Calibri" w:hAnsi="Calibri"/>
          <w:sz w:val="21"/>
        </w:rPr>
        <w:t>. Umożliwi optymalizację kampanii pod inicjowanie zakupu.</w:t>
      </w:r>
    </w:p>
    <w:p/>
    <w:p>
      <w:pPr>
        <w:spacing w:after="80"/>
      </w:pPr>
      <w:r>
        <w:rPr>
          <w:rFonts w:ascii="Calibri" w:hAnsi="Calibri"/>
          <w:b/>
          <w:sz w:val="21"/>
        </w:rPr>
        <w:t>7. Standaryzować UTM dla Meta/Instagram</w:t>
      </w:r>
    </w:p>
    <w:p>
      <w:pPr>
        <w:spacing w:after="80"/>
      </w:pPr>
      <w:r>
        <w:rPr>
          <w:rFonts w:ascii="Calibri" w:hAnsi="Calibri"/>
          <w:sz w:val="21"/>
        </w:rPr>
        <w:t xml:space="preserve">Wdrożyć spójną konwencję: </w:t>
      </w:r>
      <w:r>
        <w:rPr>
          <w:rFonts w:ascii="Courier New" w:hAnsi="Courier New"/>
          <w:color w:val="C7254E"/>
          <w:sz w:val="19"/>
        </w:rPr>
        <w:t>utm_source=facebook</w:t>
      </w:r>
      <w:r>
        <w:rPr>
          <w:rFonts w:ascii="Calibri" w:hAnsi="Calibri"/>
          <w:sz w:val="21"/>
        </w:rPr>
        <w:t xml:space="preserve"> dla całego ekosystemu Meta (nie: facebook.com, m.facebook.com, l.facebook.com itp.). Odblokuje właściwe raportowanie skuteczności Meta Ads.</w:t>
      </w:r>
    </w:p>
    <w:p/>
    <w:p>
      <w:pPr>
        <w:spacing w:after="80"/>
      </w:pPr>
      <w:r>
        <w:rPr>
          <w:rFonts w:ascii="Calibri" w:hAnsi="Calibri"/>
          <w:b/>
          <w:sz w:val="21"/>
        </w:rPr>
        <w:t>8. Wykluczyć ruch deweloperski</w:t>
      </w:r>
    </w:p>
    <w:p>
      <w:pPr>
        <w:spacing w:after="80"/>
      </w:pPr>
      <w:r>
        <w:rPr>
          <w:rFonts w:ascii="Calibri" w:hAnsi="Calibri"/>
          <w:sz w:val="21"/>
        </w:rPr>
        <w:t xml:space="preserve">Dodać </w:t>
      </w:r>
      <w:r>
        <w:rPr>
          <w:rFonts w:ascii="Courier New" w:hAnsi="Courier New"/>
          <w:color w:val="C7254E"/>
          <w:sz w:val="19"/>
        </w:rPr>
        <w:t>dev18.arytondev.local</w:t>
      </w:r>
      <w:r>
        <w:rPr>
          <w:rFonts w:ascii="Calibri" w:hAnsi="Calibri"/>
          <w:sz w:val="21"/>
        </w:rPr>
        <w:t xml:space="preserve"> i </w:t>
      </w:r>
      <w:r>
        <w:rPr>
          <w:rFonts w:ascii="Courier New" w:hAnsi="Courier New"/>
          <w:color w:val="C7254E"/>
          <w:sz w:val="19"/>
        </w:rPr>
        <w:t>arytonpl.sharepoint.com</w:t>
      </w:r>
      <w:r>
        <w:rPr>
          <w:rFonts w:ascii="Calibri" w:hAnsi="Calibri"/>
          <w:sz w:val="21"/>
        </w:rPr>
        <w:t xml:space="preserve"> do listy niechcianych witryn lub skonfigurować filtr IP.</w:t>
      </w:r>
    </w:p>
    <w:p/>
    <w:p>
      <w:pPr>
        <w:spacing w:after="80"/>
      </w:pPr>
      <w:r>
        <w:rPr>
          <w:rFonts w:ascii="Calibri" w:hAnsi="Calibri"/>
          <w:b/>
          <w:sz w:val="21"/>
        </w:rPr>
        <w:t>9. Dodać GTM noscript do `&lt;body&gt;`</w:t>
      </w:r>
    </w:p>
    <w:p>
      <w:pPr>
        <w:spacing w:after="80"/>
      </w:pPr>
      <w:r>
        <w:rPr>
          <w:rFonts w:ascii="Calibri" w:hAnsi="Calibri"/>
          <w:sz w:val="21"/>
        </w:rPr>
        <w:t xml:space="preserve">Uzupełnić fragment: </w:t>
      </w:r>
      <w:r>
        <w:rPr>
          <w:rFonts w:ascii="Courier New" w:hAnsi="Courier New"/>
          <w:color w:val="C7254E"/>
          <w:sz w:val="19"/>
        </w:rPr>
        <w:t>&lt;noscript&gt;&lt;iframe src="https://www.googletagmanager.com/ns.html?id=GTM-MDGSP8"...&gt;&lt;/iframe&gt;&lt;/noscript&gt;</w:t>
      </w:r>
    </w:p>
    <w:p/>
    <w:p>
      <w:pPr>
        <w:spacing w:after="80"/>
      </w:pPr>
      <w:r>
        <w:rPr>
          <w:rFonts w:ascii="Calibri" w:hAnsi="Calibri"/>
          <w:b/>
          <w:sz w:val="21"/>
        </w:rPr>
        <w:t>10. Zweryfikować cross-domain tracking</w:t>
      </w:r>
    </w:p>
    <w:p>
      <w:pPr>
        <w:spacing w:after="80"/>
      </w:pPr>
      <w:r>
        <w:rPr>
          <w:rFonts w:ascii="Calibri" w:hAnsi="Calibri"/>
          <w:sz w:val="21"/>
        </w:rPr>
        <w:t>Sprawdzić konfigurację domen w strumieniu GA4, szczególnie dla przepływu do Klarna i ewentualnych innych subdomen.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🟢 USPRAWNIENIA — po naprawie błędów krytycznych</w:t>
      </w:r>
    </w:p>
    <w:p/>
    <w:p>
      <w:pPr>
        <w:spacing w:after="80"/>
      </w:pPr>
      <w:r>
        <w:rPr>
          <w:rFonts w:ascii="Calibri" w:hAnsi="Calibri"/>
          <w:b/>
          <w:sz w:val="21"/>
        </w:rPr>
        <w:t>11. Włączyć streaming export do BigQuery</w:t>
      </w:r>
    </w:p>
    <w:p>
      <w:pPr>
        <w:spacing w:after="80"/>
      </w:pPr>
      <w:r>
        <w:rPr>
          <w:rFonts w:ascii="Calibri" w:hAnsi="Calibri"/>
          <w:sz w:val="21"/>
        </w:rPr>
        <w:t>Aktualnie tylko daily export. Streaming umożliwia analizy real-time i dostęp do danych w ciągu minut zamiast doby.</w:t>
      </w:r>
    </w:p>
    <w:p/>
    <w:p>
      <w:pPr>
        <w:spacing w:after="80"/>
      </w:pPr>
      <w:r>
        <w:rPr>
          <w:rFonts w:ascii="Calibri" w:hAnsi="Calibri"/>
          <w:b/>
          <w:sz w:val="21"/>
        </w:rPr>
        <w:t>12. Wdrożyć GTM Server Side</w:t>
      </w:r>
    </w:p>
    <w:p>
      <w:pPr>
        <w:spacing w:after="80"/>
      </w:pPr>
      <w:r>
        <w:rPr>
          <w:rFonts w:ascii="Calibri" w:hAnsi="Calibri"/>
          <w:sz w:val="21"/>
        </w:rPr>
        <w:t>Dla poprawy jakości danych, wydłużenia życia cookies (first-party), odporności na ad-blockery i lepszej integracji z Meta CAPI.</w:t>
      </w:r>
    </w:p>
    <w:p/>
    <w:p>
      <w:pPr>
        <w:spacing w:after="80"/>
      </w:pPr>
      <w:r>
        <w:rPr>
          <w:rFonts w:ascii="Calibri" w:hAnsi="Calibri"/>
          <w:b/>
          <w:sz w:val="21"/>
        </w:rPr>
        <w:t>13. Skonfigurować alerty o anomaliach w GA4</w:t>
      </w:r>
    </w:p>
    <w:p>
      <w:pPr>
        <w:spacing w:after="80"/>
      </w:pPr>
      <w:r>
        <w:rPr>
          <w:rFonts w:ascii="Calibri" w:hAnsi="Calibri"/>
          <w:sz w:val="21"/>
        </w:rPr>
        <w:t>GA4 → Insights → Alerty niestandardowe dla: spadku sesji, spadku transakcji, wzrostu (not set).</w:t>
      </w:r>
    </w:p>
    <w:p/>
    <w:p>
      <w:pPr>
        <w:spacing w:after="80"/>
      </w:pPr>
      <w:r>
        <w:rPr>
          <w:rFonts w:ascii="Calibri" w:hAnsi="Calibri"/>
          <w:b/>
          <w:sz w:val="21"/>
        </w:rPr>
        <w:t>14. Wydłużyć czas trwania sesji do 5h</w:t>
      </w:r>
    </w:p>
    <w:p>
      <w:pPr>
        <w:spacing w:after="80"/>
      </w:pPr>
      <w:r>
        <w:rPr>
          <w:rFonts w:ascii="Calibri" w:hAnsi="Calibri"/>
          <w:sz w:val="21"/>
        </w:rPr>
        <w:t>Po naprawie duplikacji GA4 — ustawić czas sesji na 5h aby sesje zakupowe (szczególnie przy powrocie z bramki płatności) nie były przerywane.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PYTANIA BRIEFINGOWE DO KLIENTA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Kto i kiedy dodał hardcoded GA4 bezpośrednio w HTML? Czy to była świadoma decyzja czy błąd wdrożeniowy?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Czy Klarna jest bramką płatności zintegrowaną z PrestaShop? Jakie jeszcze bramki płatności są używane (PayU, Przelewy24)?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Czy e-maile transakcyjne (potwierdzenia zamówień) mają UTM? Kto zarządza szablonami maili?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Kampanie Google PMax — czy mają skonfigurowane UTM na poziomie finałowego URL?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Czy są inne domeny / subdomeny Aryton poza patrizia.aryton.pl (np. główny aryton.pl)?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Kto ma dostęp do GTM i kto może wdrażać zmiany techniczne?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rFonts w:ascii="Calibri" w:hAnsi="Calibri"/>
          <w:sz w:val="21"/>
        </w:rPr>
        <w:t>*Raport wygenerowany: 2026-04-03 | Narzędzia: GA4 Admin API + Data API | Okres analizy danych: 90 dni*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