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97D"/>
          <w:sz w:val="32"/>
        </w:rPr>
        <w:t>Raport Audytu GA4 — Aryton (Patrizia)</w:t>
      </w:r>
    </w:p>
    <w:p/>
    <w:p>
      <w:pPr>
        <w:spacing w:after="80"/>
      </w:pPr>
      <w:r>
        <w:rPr>
          <w:rFonts w:ascii="Calibri" w:hAnsi="Calibri"/>
          <w:b/>
          <w:sz w:val="21"/>
        </w:rPr>
        <w:t>Data:</w:t>
      </w:r>
      <w:r>
        <w:rPr>
          <w:rFonts w:ascii="Calibri" w:hAnsi="Calibri"/>
          <w:sz w:val="21"/>
        </w:rPr>
        <w:t xml:space="preserve"> 2026-04-03</w:t>
      </w:r>
    </w:p>
    <w:p>
      <w:pPr>
        <w:spacing w:after="80"/>
      </w:pPr>
      <w:r>
        <w:rPr>
          <w:rFonts w:ascii="Calibri" w:hAnsi="Calibri"/>
          <w:b/>
          <w:sz w:val="21"/>
        </w:rPr>
        <w:t>Audytor:</w:t>
      </w:r>
      <w:r>
        <w:rPr>
          <w:rFonts w:ascii="Calibri" w:hAnsi="Calibri"/>
          <w:sz w:val="21"/>
        </w:rPr>
        <w:t xml:space="preserve"> Adrian Andrzejczyk</w:t>
      </w:r>
    </w:p>
    <w:p>
      <w:pPr>
        <w:spacing w:after="80"/>
      </w:pPr>
      <w:r>
        <w:rPr>
          <w:rFonts w:ascii="Calibri" w:hAnsi="Calibri"/>
          <w:b/>
          <w:sz w:val="21"/>
        </w:rPr>
        <w:t>GA4 Property:</w:t>
      </w:r>
      <w:r>
        <w:rPr>
          <w:rFonts w:ascii="Calibri" w:hAnsi="Calibri"/>
          <w:sz w:val="21"/>
        </w:rPr>
        <w:t xml:space="preserve"> www.aryton.pl – GA4 (ID: 326801658)</w:t>
      </w:r>
    </w:p>
    <w:p>
      <w:pPr>
        <w:spacing w:after="80"/>
      </w:pPr>
      <w:r>
        <w:rPr>
          <w:rFonts w:ascii="Calibri" w:hAnsi="Calibri"/>
          <w:b/>
          <w:sz w:val="21"/>
        </w:rPr>
        <w:t>Measurement ID:</w:t>
      </w:r>
      <w:r>
        <w:rPr>
          <w:rFonts w:ascii="Calibri" w:hAnsi="Calibri"/>
          <w:sz w:val="21"/>
        </w:rPr>
        <w:t xml:space="preserve"> G-93NK3C48R3</w:t>
      </w:r>
    </w:p>
    <w:p>
      <w:pPr>
        <w:spacing w:after="80"/>
      </w:pPr>
      <w:r>
        <w:rPr>
          <w:rFonts w:ascii="Calibri" w:hAnsi="Calibri"/>
          <w:b/>
          <w:sz w:val="21"/>
        </w:rPr>
        <w:t>GTM Container:</w:t>
      </w:r>
      <w:r>
        <w:rPr>
          <w:rFonts w:ascii="Calibri" w:hAnsi="Calibri"/>
          <w:sz w:val="21"/>
        </w:rPr>
        <w:t xml:space="preserve"> GTM-MDGSP8</w:t>
      </w:r>
    </w:p>
    <w:p>
      <w:pPr>
        <w:spacing w:after="80"/>
      </w:pPr>
      <w:r>
        <w:rPr>
          <w:rFonts w:ascii="Calibri" w:hAnsi="Calibri"/>
          <w:b/>
          <w:sz w:val="21"/>
        </w:rPr>
        <w:t>URL strony:</w:t>
      </w:r>
      <w:r>
        <w:rPr>
          <w:rFonts w:ascii="Calibri" w:hAnsi="Calibri"/>
          <w:sz w:val="21"/>
        </w:rPr>
        <w:t xml:space="preserve"> https://patrizia.aryton.pl/</w:t>
      </w:r>
    </w:p>
    <w:p>
      <w:pPr>
        <w:spacing w:after="80"/>
      </w:pPr>
      <w:r>
        <w:rPr>
          <w:rFonts w:ascii="Calibri" w:hAnsi="Calibri"/>
          <w:b/>
          <w:sz w:val="21"/>
        </w:rPr>
        <w:t>Typ biznesu:</w:t>
      </w:r>
      <w:r>
        <w:rPr>
          <w:rFonts w:ascii="Calibri" w:hAnsi="Calibri"/>
          <w:sz w:val="21"/>
        </w:rPr>
        <w:t xml:space="preserve"> E-commerce (odzież premium)</w:t>
      </w:r>
    </w:p>
    <w:p>
      <w:pPr>
        <w:spacing w:after="80"/>
      </w:pPr>
      <w:r>
        <w:rPr>
          <w:rFonts w:ascii="Calibri" w:hAnsi="Calibri"/>
          <w:b/>
          <w:sz w:val="21"/>
        </w:rPr>
        <w:t>Strumień danych:</w:t>
      </w:r>
      <w:r>
        <w:rPr>
          <w:rFonts w:ascii="Calibri" w:hAnsi="Calibri"/>
          <w:sz w:val="21"/>
        </w:rPr>
        <w:t xml:space="preserve"> patrizia.aryton.pl – GA4 (ID: 3954589560)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 — PODSUMOWANIE WYKONAWCZE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Wyniki sekcji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Sekcja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Uzyskane pkt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Max pkt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Wynik %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1. Audyt Wstępny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2. ePrivacy / Consent Mode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10%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3. Konfiguracja GA4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Wymaga poprawy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4. Data Quality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47%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5. UTM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36%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Krytyczny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**ŁĄCZNIE**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**62**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**138**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**45%**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**❌ Krytyczny**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Jakość danych — CZY DANYM MOŻNA UFAĆ?</w:t>
      </w:r>
    </w:p>
    <w:p/>
    <w:p>
      <w:pPr>
        <w:spacing w:after="80"/>
      </w:pPr>
      <w:r>
        <w:rPr>
          <w:rFonts w:ascii="Calibri" w:hAnsi="Calibri"/>
          <w:b/>
          <w:sz w:val="21"/>
        </w:rPr>
        <w:t>Częściowo — dane o ruchu są wiarygodne, dane transakcyjne wymagają korekty interpretacyjnej.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Wykryto podwójne wdrożenie GA4 (hardcoded w HTML + przez GTM), które powoduje, że zdarzenie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jest rejestrowane </w:t>
      </w:r>
      <w:r>
        <w:rPr>
          <w:rFonts w:ascii="Calibri" w:hAnsi="Calibri"/>
          <w:b/>
          <w:sz w:val="21"/>
        </w:rPr>
        <w:t>3.53 razy na transakcję</w:t>
      </w:r>
      <w:r>
        <w:rPr>
          <w:rFonts w:ascii="Calibri" w:hAnsi="Calibri"/>
          <w:sz w:val="21"/>
        </w:rPr>
        <w:t xml:space="preserve"> (ratio </w:t>
      </w:r>
      <w:r>
        <w:rPr>
          <w:rFonts w:ascii="Courier New" w:hAnsi="Courier New"/>
          <w:color w:val="C7254E"/>
          <w:sz w:val="19"/>
        </w:rPr>
        <w:t>ecommercePurchases:transactions = 7 616 : 2 159</w:t>
      </w:r>
      <w:r>
        <w:rPr>
          <w:rFonts w:ascii="Calibri" w:hAnsi="Calibri"/>
          <w:sz w:val="21"/>
        </w:rPr>
        <w:t xml:space="preserve">). Anomalia jest potwierdzona matematycznie: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(7 616 eventów) &gt;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(5 874 eventów) = 129.7% konwersji — fizycznie niemożliwe.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Dodatkowo wykryto 452 eventy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z </w:t>
      </w:r>
      <w:r>
        <w:rPr>
          <w:rFonts w:ascii="Courier New" w:hAnsi="Courier New"/>
          <w:color w:val="C7254E"/>
          <w:sz w:val="19"/>
        </w:rPr>
        <w:t>transaction_id = (not set)</w:t>
      </w:r>
      <w:r>
        <w:rPr>
          <w:rFonts w:ascii="Calibri" w:hAnsi="Calibri"/>
          <w:sz w:val="21"/>
        </w:rPr>
        <w:t xml:space="preserve"> — to hardcoded </w:t>
      </w:r>
      <w:r>
        <w:rPr>
          <w:rFonts w:ascii="Courier New" w:hAnsi="Courier New"/>
          <w:color w:val="C7254E"/>
          <w:sz w:val="19"/>
        </w:rPr>
        <w:t>gtag</w:t>
      </w:r>
      <w:r>
        <w:rPr>
          <w:rFonts w:ascii="Calibri" w:hAnsi="Calibri"/>
          <w:sz w:val="21"/>
        </w:rPr>
        <w:t xml:space="preserve"> wysyłający zdarzenia bez danych e-commerce. Oraz malformed transaction ID z parametrami URL: </w:t>
      </w:r>
      <w:r>
        <w:rPr>
          <w:rFonts w:ascii="Courier New" w:hAnsi="Courier New"/>
          <w:color w:val="C7254E"/>
          <w:sz w:val="19"/>
        </w:rPr>
        <w:t>210035&amp;key=1abe2783234b4109f15a80bdd3246c14</w:t>
      </w:r>
      <w:r>
        <w:rPr>
          <w:rFonts w:ascii="Calibri" w:hAnsi="Calibri"/>
          <w:sz w:val="21"/>
        </w:rPr>
        <w:t xml:space="preserve"> — co wskazuje na błąd w DataLayer na stronie potwierdzenia.</w:t>
      </w:r>
    </w:p>
    <w:p/>
    <w:p>
      <w:pPr>
        <w:spacing w:after="80"/>
      </w:pPr>
      <w:r>
        <w:rPr>
          <w:rFonts w:ascii="Calibri" w:hAnsi="Calibri"/>
          <w:b/>
          <w:sz w:val="21"/>
        </w:rPr>
        <w:t>Jednak nie wszystko stracone.</w:t>
      </w:r>
      <w:r>
        <w:rPr>
          <w:rFonts w:ascii="Calibri" w:hAnsi="Calibri"/>
          <w:sz w:val="21"/>
        </w:rPr>
        <w:t xml:space="preserve"> GA4 deduplicates transakcje po </w:t>
      </w:r>
      <w:r>
        <w:rPr>
          <w:rFonts w:ascii="Courier New" w:hAnsi="Courier New"/>
          <w:color w:val="C7254E"/>
          <w:sz w:val="19"/>
        </w:rPr>
        <w:t>transaction_id</w:t>
      </w:r>
      <w:r>
        <w:rPr>
          <w:rFonts w:ascii="Calibri" w:hAnsi="Calibri"/>
          <w:sz w:val="21"/>
        </w:rPr>
        <w:t xml:space="preserve">: metryka </w:t>
      </w:r>
      <w:r>
        <w:rPr>
          <w:rFonts w:ascii="Courier New" w:hAnsi="Courier New"/>
          <w:color w:val="C7254E"/>
          <w:sz w:val="19"/>
        </w:rPr>
        <w:t>transactions = 2 159</w:t>
      </w:r>
      <w:r>
        <w:rPr>
          <w:rFonts w:ascii="Calibri" w:hAnsi="Calibri"/>
          <w:sz w:val="21"/>
        </w:rPr>
        <w:t xml:space="preserve"> (90d) i </w:t>
      </w:r>
      <w:r>
        <w:rPr>
          <w:rFonts w:ascii="Courier New" w:hAnsi="Courier New"/>
          <w:color w:val="C7254E"/>
          <w:sz w:val="19"/>
        </w:rPr>
        <w:t>purchaseRevenue = 2 628 465 PLN</w:t>
      </w:r>
      <w:r>
        <w:rPr>
          <w:rFonts w:ascii="Calibri" w:hAnsi="Calibri"/>
          <w:sz w:val="21"/>
        </w:rPr>
        <w:t xml:space="preserve"> są prawdopodobnie bliskie prawdy, bo bazują na unikalnych ID zamówień. Dane o ruchu (sesje: 999 044, kanały, zaangażowanie, udział not-set = 2.1%) są wiarygodne.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Obszar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Wiarygodność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Uzasadnienie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Sesje i ruch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Wiarygodne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Nie są zależne od duplikacji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Kanały pozyskania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W większości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Fragmentacja Meta zniekształca ~10%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Liczba transakcji (`transactions`)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⚠️ Prawdopodobnie OK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GA4 deduplicates po transaction_id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Przychód (`purchaseRevenue`)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⚠️ Prawdopodobnie OK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Deduplikowany; 452 (not set) = 0 PLN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Liczba eventów purchase (`ecommercePurchases`)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Zawyżone 3.5x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Raw eventy bez deduplikacji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Lejek (begin_checkout → purchase)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Zepsuty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begin_checkout tylko z GTM; purchase z 2 źródeł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Czas sesji (20.4 min)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Podejrzany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Prawdopodobnie zawyżony przez duplikaty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add_shipping_info &gt; begin_checkout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Anomalia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9 763 &gt; 5 874 — błąd implementacji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Co można analizować:</w:t>
      </w:r>
      <w:r>
        <w:rPr>
          <w:rFonts w:ascii="Calibri" w:hAnsi="Calibri"/>
          <w:sz w:val="21"/>
        </w:rPr>
        <w:t xml:space="preserve"> trendy ruchu, efektywność kanałów, zachowanie użytkowników, przybliżone wyniki e-commerce przez metrykę </w:t>
      </w:r>
      <w:r>
        <w:rPr>
          <w:rFonts w:ascii="Courier New" w:hAnsi="Courier New"/>
          <w:color w:val="C7254E"/>
          <w:sz w:val="19"/>
        </w:rPr>
        <w:t>transactions</w:t>
      </w:r>
      <w:r>
        <w:rPr>
          <w:rFonts w:ascii="Calibri" w:hAnsi="Calibri"/>
          <w:sz w:val="21"/>
        </w:rPr>
        <w:t>.</w:t>
      </w:r>
    </w:p>
    <w:p>
      <w:pPr>
        <w:spacing w:after="80"/>
      </w:pPr>
      <w:r>
        <w:rPr>
          <w:rFonts w:ascii="Calibri" w:hAnsi="Calibri"/>
          <w:b/>
          <w:sz w:val="21"/>
        </w:rPr>
        <w:t>Czego NIE należy analizować dosłownie:</w:t>
      </w:r>
      <w:r>
        <w:rPr>
          <w:rFonts w:ascii="Calibri" w:hAnsi="Calibri"/>
          <w:sz w:val="21"/>
        </w:rPr>
        <w:t xml:space="preserve"> </w:t>
      </w:r>
      <w:r>
        <w:rPr>
          <w:rFonts w:ascii="Courier New" w:hAnsi="Courier New"/>
          <w:color w:val="C7254E"/>
          <w:sz w:val="19"/>
        </w:rPr>
        <w:t>ecommercePurchases</w:t>
      </w:r>
      <w:r>
        <w:rPr>
          <w:rFonts w:ascii="Calibri" w:hAnsi="Calibri"/>
          <w:sz w:val="21"/>
        </w:rPr>
        <w:t>, CR lejka, czas sesji — do czasu naprawy duplikacji.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Konfiguracja GA4</w:t>
      </w:r>
    </w:p>
    <w:p/>
    <w:p>
      <w:pPr>
        <w:spacing w:after="80"/>
      </w:pPr>
      <w:r>
        <w:rPr>
          <w:rFonts w:ascii="Calibri" w:hAnsi="Calibri"/>
          <w:sz w:val="21"/>
        </w:rPr>
        <w:t>Podstawowe ustawienia konta są poprawne: właściwa strefa czasowa (Europa/Warszawa), waluta PLN, retencja danych ustawiona na 14 miesięcy, Google Signals włączone, model atrybucji data-driven, eksport do BigQuery aktywny, Google Ads podłączone z włączonymi reklamami spersonalizowanymi.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Istotne braki: jako konwersja oznaczony jest wyłącznie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— brakuje kluczowych zdarzeń pośrednich (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add_to_cart</w:t>
      </w:r>
      <w:r>
        <w:rPr>
          <w:rFonts w:ascii="Calibri" w:hAnsi="Calibri"/>
          <w:color w:val="C00000"/>
          <w:sz w:val="21"/>
        </w:rPr>
        <w:t xml:space="preserve">), które umożliwiają optymalizację kampanii. Nie wykryto filtrów wykluczających ruch deweloperski (w referral pojawia się </w:t>
      </w:r>
      <w:r>
        <w:rPr>
          <w:rFonts w:ascii="Courier New" w:hAnsi="Courier New"/>
          <w:color w:val="C7254E"/>
          <w:sz w:val="19"/>
        </w:rPr>
        <w:t>dev18.arytondev.local</w:t>
      </w:r>
      <w:r>
        <w:rPr>
          <w:rFonts w:ascii="Calibri" w:hAnsi="Calibri"/>
          <w:sz w:val="21"/>
        </w:rPr>
        <w:t>). Bramki pocztowe i Klarna nie są wykluczone ze źródeł referral.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Infrastruktura (GTM)</w:t>
      </w:r>
    </w:p>
    <w:p/>
    <w:p>
      <w:pPr>
        <w:spacing w:after="80"/>
      </w:pPr>
      <w:r>
        <w:rPr>
          <w:rFonts w:ascii="Calibri" w:hAnsi="Calibri"/>
          <w:sz w:val="21"/>
        </w:rPr>
        <w:t>GTM-MDGSP8 jest aktywny na stronie, jednak implementacja zawiera poważne błędy architektoniczne: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GA4 i Google Ads są wdrożone </w:t>
      </w:r>
      <w:r>
        <w:rPr>
          <w:rFonts w:ascii="Calibri" w:hAnsi="Calibri"/>
          <w:b/>
          <w:sz w:val="21"/>
        </w:rPr>
        <w:t>poza GTM</w:t>
      </w:r>
      <w:r>
        <w:rPr>
          <w:rFonts w:ascii="Calibri" w:hAnsi="Calibri"/>
          <w:sz w:val="21"/>
        </w:rPr>
        <w:t>, bezpośrednio w HTML — co podważa sens używania GTM jako centralnego punktu zarządzania tagami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Consent Mode jest zdefiniowany w złej kolejności (po GTM zamiast przed)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Brak widocznego banera cookies — strona nie umożliwia użytkownikom zarządzania zgodami</w:t>
      </w:r>
    </w:p>
    <w:p/>
    <w:p>
      <w:pPr>
        <w:spacing w:after="80"/>
      </w:pPr>
      <w:r>
        <w:rPr>
          <w:rFonts w:ascii="Calibri" w:hAnsi="Calibri"/>
          <w:sz w:val="21"/>
        </w:rPr>
        <w:t>GTM Server Side nie jest wdrożony — to szansa na usprawnienie w przyszłości.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Kluczowe wnioski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Podwójne wdrożenie GA4 — ratio 3.53x</w:t>
      </w:r>
      <w:r>
        <w:rPr>
          <w:rFonts w:ascii="Calibri" w:hAnsi="Calibri"/>
          <w:sz w:val="21"/>
        </w:rPr>
        <w:t xml:space="preserve"> —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wyzwala się 3.5 razy na transakcję (7 616 eventów vs 2 159 unikalnych transakcji). 452 eventy bez transaction_id. Malformed ID: </w:t>
      </w:r>
      <w:r>
        <w:rPr>
          <w:rFonts w:ascii="Courier New" w:hAnsi="Courier New"/>
          <w:color w:val="C7254E"/>
          <w:sz w:val="19"/>
        </w:rPr>
        <w:t>210035&amp;key=1abe2783...</w:t>
      </w:r>
      <w:r>
        <w:rPr>
          <w:rFonts w:ascii="Calibri" w:hAnsi="Calibri"/>
          <w:sz w:val="21"/>
        </w:rPr>
        <w:t>. Lejek e-commerce jest zepsuty i nie nadaje się do optymalizacji kampanii.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Brak banera cookies (CMP)</w:t>
      </w:r>
      <w:r>
        <w:rPr>
          <w:rFonts w:ascii="Calibri" w:hAnsi="Calibri"/>
          <w:sz w:val="21"/>
        </w:rPr>
        <w:t xml:space="preserve"> — naruszenie RODO; strona używa tylko modułu </w:t>
      </w:r>
      <w:r>
        <w:rPr>
          <w:rFonts w:ascii="Courier New" w:hAnsi="Courier New"/>
          <w:color w:val="C7254E"/>
          <w:sz w:val="19"/>
        </w:rPr>
        <w:t>psgdpr</w:t>
      </w:r>
      <w:r>
        <w:rPr>
          <w:rFonts w:ascii="Calibri" w:hAnsi="Calibri"/>
          <w:sz w:val="21"/>
        </w:rPr>
        <w:t xml:space="preserve"> obsługującego formularze, ale brak banera przy wejściu = użytkownik nigdy nie wyraża zgody na analytics_storage. Potencjalnie GA4 zbiera dane tylko od ~20-30% użytkowników (tych z zapisaną zgodą z poprzedniej wizyty).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Błędna kolejność Consent Mode</w:t>
      </w:r>
      <w:r>
        <w:rPr>
          <w:rFonts w:ascii="Calibri" w:hAnsi="Calibri"/>
          <w:sz w:val="21"/>
        </w:rPr>
        <w:t xml:space="preserve"> — w </w:t>
      </w:r>
      <w:r>
        <w:rPr>
          <w:rFonts w:ascii="Courier New" w:hAnsi="Courier New"/>
          <w:color w:val="C7254E"/>
          <w:sz w:val="19"/>
        </w:rPr>
        <w:t>&lt;head&gt;</w:t>
      </w:r>
      <w:r>
        <w:rPr>
          <w:rFonts w:ascii="Calibri" w:hAnsi="Calibri"/>
          <w:sz w:val="21"/>
        </w:rPr>
        <w:t xml:space="preserve"> strony: GTM ładuje się jako </w:t>
      </w:r>
      <w:r>
        <w:rPr>
          <w:rFonts w:ascii="Calibri" w:hAnsi="Calibri"/>
          <w:b/>
          <w:sz w:val="21"/>
        </w:rPr>
        <w:t>pierwszy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gtag('consent', 'default')</w:t>
      </w:r>
      <w:r>
        <w:rPr>
          <w:rFonts w:ascii="Calibri" w:hAnsi="Calibri"/>
          <w:sz w:val="21"/>
        </w:rPr>
        <w:t xml:space="preserve"> jako </w:t>
      </w:r>
      <w:r>
        <w:rPr>
          <w:rFonts w:ascii="Calibri" w:hAnsi="Calibri"/>
          <w:b/>
          <w:sz w:val="21"/>
        </w:rPr>
        <w:t>trzeci</w:t>
      </w:r>
      <w:r>
        <w:rPr>
          <w:rFonts w:ascii="Calibri" w:hAnsi="Calibri"/>
          <w:sz w:val="21"/>
        </w:rPr>
        <w:t>. Tagi w GTM mogą się inicjalizować zanim consent zostanie ustawiony.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🔴 </w:t>
      </w:r>
      <w:r>
        <w:rPr>
          <w:rFonts w:ascii="Calibri" w:hAnsi="Calibri"/>
          <w:b/>
          <w:sz w:val="21"/>
        </w:rPr>
        <w:t>Klarna i bramki pocztowe w referral</w:t>
      </w:r>
      <w:r>
        <w:rPr>
          <w:rFonts w:ascii="Calibri" w:hAnsi="Calibri"/>
          <w:sz w:val="21"/>
        </w:rPr>
        <w:t xml:space="preserve"> — 8 transakcji (klarna / referral), łącznie 1 424 sesje z poczty (poczta.onet.pl: 637, poczta.wp.pl: 411, poczta.o2.pl: 202, poczta.interia.pl: 174) wpadają jako referral zamiast jako email.</w:t>
      </w:r>
    </w:p>
    <w:p>
      <w:pPr>
        <w:pStyle w:val="ListBullet"/>
        <w:spacing w:after="40"/>
        <w:ind w:left="0"/>
      </w:pPr>
      <w:r>
        <w:rPr>
          <w:rFonts w:ascii="Calibri" w:hAnsi="Calibri"/>
          <w:color w:val="BF8F00"/>
          <w:sz w:val="21"/>
        </w:rPr>
        <w:t xml:space="preserve">⚠️ </w:t>
      </w:r>
      <w:r>
        <w:rPr>
          <w:rFonts w:ascii="Calibri" w:hAnsi="Calibri"/>
          <w:b/>
          <w:sz w:val="21"/>
        </w:rPr>
        <w:t>Fragmentacja UTM Meta/Instagram</w:t>
      </w:r>
      <w:r>
        <w:rPr>
          <w:rFonts w:ascii="Calibri" w:hAnsi="Calibri"/>
          <w:sz w:val="21"/>
        </w:rPr>
        <w:t xml:space="preserve"> — 5 wariantów Facebook (</w:t>
      </w:r>
      <w:r>
        <w:rPr>
          <w:rFonts w:ascii="Courier New" w:hAnsi="Courier New"/>
          <w:color w:val="C7254E"/>
          <w:sz w:val="19"/>
        </w:rPr>
        <w:t>facebook</w:t>
      </w:r>
      <w:r>
        <w:rPr>
          <w:rFonts w:ascii="Calibri" w:hAnsi="Calibri"/>
          <w:sz w:val="21"/>
        </w:rPr>
        <w:t xml:space="preserve">: 184 372, </w:t>
      </w:r>
      <w:r>
        <w:rPr>
          <w:rFonts w:ascii="Courier New" w:hAnsi="Courier New"/>
          <w:color w:val="C7254E"/>
          <w:sz w:val="19"/>
        </w:rPr>
        <w:t>facebook.com</w:t>
      </w:r>
      <w:r>
        <w:rPr>
          <w:rFonts w:ascii="Calibri" w:hAnsi="Calibri"/>
          <w:sz w:val="21"/>
        </w:rPr>
        <w:t xml:space="preserve">: 38 291, </w:t>
      </w:r>
      <w:r>
        <w:rPr>
          <w:rFonts w:ascii="Courier New" w:hAnsi="Courier New"/>
          <w:color w:val="C7254E"/>
          <w:sz w:val="19"/>
        </w:rPr>
        <w:t>m.facebook.com</w:t>
      </w:r>
      <w:r>
        <w:rPr>
          <w:rFonts w:ascii="Calibri" w:hAnsi="Calibri"/>
          <w:sz w:val="21"/>
        </w:rPr>
        <w:t xml:space="preserve">: 19 440, </w:t>
      </w:r>
      <w:r>
        <w:rPr>
          <w:rFonts w:ascii="Courier New" w:hAnsi="Courier New"/>
          <w:color w:val="C7254E"/>
          <w:sz w:val="19"/>
        </w:rPr>
        <w:t>l.facebook.com</w:t>
      </w:r>
      <w:r>
        <w:rPr>
          <w:rFonts w:ascii="Calibri" w:hAnsi="Calibri"/>
          <w:sz w:val="21"/>
        </w:rPr>
        <w:t xml:space="preserve">: 8 218, </w:t>
      </w:r>
      <w:r>
        <w:rPr>
          <w:rFonts w:ascii="Courier New" w:hAnsi="Courier New"/>
          <w:color w:val="C7254E"/>
          <w:sz w:val="19"/>
        </w:rPr>
        <w:t>lm.facebook.com</w:t>
      </w:r>
      <w:r>
        <w:rPr>
          <w:rFonts w:ascii="Calibri" w:hAnsi="Calibri"/>
          <w:sz w:val="21"/>
        </w:rPr>
        <w:t>: 1 216) + 4 warianty Instagram. Ruch Meta rozlany na 9 źródeł — kampanie wyglądają słabiej niż są.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II — OMÓWIENIE SZCZEGÓŁOWE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1 — Audyt Wstępny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1.1 Adnotacje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sz w:val="21"/>
        </w:rPr>
        <w:t>Adnotacje to notatki dodawane do osi czasu Google Analytics, które zaznaczają ważne zdarzenia — wdrożenia techniczne, starty kampanii, zmiany na stronie. Dzięki nim analityk może wyjaśnić każdą anomalię w danych historycznych bez konieczności przeszukiwania innych systemów. Firma bez adnotacji traci możliwość rzetelnej interpretacji danych po czasie.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🔒 Nie zweryfikowano — brak dostępu do panelu GA4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1.2 Kolejność skryptów w kodzie HTML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sz w:val="21"/>
        </w:rPr>
        <w:t>Przeglądarka wczytuje kod strony od góry do dołu — kolejność skryptów ma bezpośredni wpływ na to, czy dane są zbierane zgodnie z prawem i prawidłowo. Prawidłowa kolejność to: najpierw ustawienie domyślnej odmowy zgody (consent default), następnie warstwa danych (dataLayer), a dopiero potem GTM.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Wykryta kolejność na patrizia.aryton.pl: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GTM snippet (GTM-MDGSP8) — ŁADUJE SIĘ JAKO PIERWSZY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Deklaracje zmiennych i schema.org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— za późno</w:t>
      </w:r>
    </w:p>
    <w:p/>
    <w:p>
      <w:pPr>
        <w:spacing w:after="80"/>
      </w:pPr>
      <w:r>
        <w:rPr>
          <w:rFonts w:ascii="Calibri" w:hAnsi="Calibri"/>
          <w:sz w:val="21"/>
        </w:rPr>
        <w:t>Consent default jest ustawiany po GTM, co oznacza, że tagi w GTM mogą się zainicjować jeszcze przed ustawieniem domyślnych wartości zgody. To podważa działanie Consent Mode V2 i jest niezgodne z wymaganiami Google.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Przenieść blok </w:t>
      </w: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bezpośrednio przed GTM snippet w </w:t>
      </w:r>
      <w:r>
        <w:rPr>
          <w:rFonts w:ascii="Courier New" w:hAnsi="Courier New"/>
          <w:color w:val="C7254E"/>
          <w:sz w:val="19"/>
        </w:rPr>
        <w:t>&lt;head&gt;</w:t>
      </w:r>
      <w:r>
        <w:rPr>
          <w:rFonts w:ascii="Calibri" w:hAnsi="Calibri"/>
          <w:sz w:val="21"/>
        </w:rPr>
        <w:t>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1.3 Przegląd wybranych podstron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Częściowo zweryfikowane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Analiza kodu strony głównej i strony kategorii wykazała działające GTM, GA4 i Facebook Pixel. Strona produktu zwróciła 404 przy testowaniu przez URL </w:t>
      </w:r>
      <w:r>
        <w:rPr>
          <w:rFonts w:ascii="Courier New" w:hAnsi="Courier New"/>
          <w:color w:val="C7254E"/>
          <w:sz w:val="19"/>
        </w:rPr>
        <w:t>/p/{id}-{slug}</w:t>
      </w:r>
      <w:r>
        <w:rPr>
          <w:rFonts w:ascii="Calibri" w:hAnsi="Calibri"/>
          <w:sz w:val="21"/>
        </w:rPr>
        <w:t xml:space="preserve"> — wymaga weryfikacji w przeglądarce.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1.4 Google Tag Assistant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Niski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manualnej weryfikacji w przeglądarce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1.5 TagHound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manualnej weryfikacji w narzędziu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1.6 Consent Mode — wstępna weryfikacja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Średni</w:t>
      </w:r>
    </w:p>
    <w:p/>
    <w:p>
      <w:pPr>
        <w:spacing w:after="80"/>
      </w:pPr>
      <w:r>
        <w:rPr>
          <w:rFonts w:ascii="Calibri" w:hAnsi="Calibri"/>
          <w:color w:val="BF8F00"/>
          <w:sz w:val="21"/>
        </w:rPr>
        <w:t>Consent Mode to system Google pozwalający na modelowanie konwersji nawet bez zgody na cookies, poprzez przesyłanie anonimowych sygnałów. Wymaga on jednak poprawnej implementacji banera cookies, który aktualizuje zgody.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 — brak banera cookies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Strona używa modułu psgdpr (PrestaShop GDPR), który obsługuje wyłącznie zgody w formularzach. Brak banera przy wejściu na stronę = użytkownik nie może wyrazić ani odmówić zgody na cookies analityczne i reklamowe.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1.7 Brak starych kodów UA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Niski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Brak śladów Universal Analytics. Jedyne aktywne kody to GA4 i Google Ads.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1.8 DataLayer — poprawność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 — częściowe potwierdzenie błędów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DataLayer istnieje i jest inicjalizowany przez GTM. Jednak analiza danych GA4 ujawniła konkretne problemy z jakością danych przekazywanych przez DataLayer:</w:t>
      </w:r>
    </w:p>
    <w:p/>
    <w:p>
      <w:pPr>
        <w:spacing w:after="80"/>
      </w:pPr>
      <w:r>
        <w:rPr>
          <w:rFonts w:ascii="Calibri" w:hAnsi="Calibri"/>
          <w:b/>
          <w:sz w:val="21"/>
        </w:rPr>
        <w:t>Problem 1 — parametry URL w transaction_id:</w:t>
      </w:r>
    </w:p>
    <w:p>
      <w:pPr>
        <w:spacing w:after="80"/>
      </w:pPr>
      <w:r>
        <w:rPr>
          <w:rFonts w:ascii="Calibri" w:hAnsi="Calibri"/>
          <w:sz w:val="21"/>
        </w:rPr>
        <w:t>W danych GA4 (90 dni) wykryto transaction ID w formacie: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>
      <w:pPr>
        <w:spacing w:after="80"/>
      </w:pPr>
      <w:r>
        <w:rPr>
          <w:rFonts w:ascii="Calibri" w:hAnsi="Calibri"/>
          <w:sz w:val="21"/>
        </w:rPr>
        <w:t>210035&amp;key=1abe2783234b4109f15a80bdd3246c14</w:t>
      </w:r>
    </w:p>
    <w:p>
      <w:pPr>
        <w:spacing w:after="80"/>
      </w:pPr>
      <w:r>
        <w:rPr>
          <w:rFonts w:ascii="Calibri" w:hAnsi="Calibri"/>
          <w:sz w:val="21"/>
        </w:rPr>
        <w:t>210036&amp;key=1abe2783234b4109f15a80bdd3246c14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>
      <w:pPr>
        <w:spacing w:after="80"/>
      </w:pPr>
      <w:r>
        <w:rPr>
          <w:rFonts w:ascii="Calibri" w:hAnsi="Calibri"/>
          <w:sz w:val="21"/>
        </w:rPr>
        <w:t xml:space="preserve">Prawidłowy transaction ID powinien zawierać wyłącznie numer zamówienia (np. </w:t>
      </w:r>
      <w:r>
        <w:rPr>
          <w:rFonts w:ascii="Courier New" w:hAnsi="Courier New"/>
          <w:color w:val="C7254E"/>
          <w:sz w:val="19"/>
        </w:rPr>
        <w:t>210035</w:t>
      </w:r>
      <w:r>
        <w:rPr>
          <w:rFonts w:ascii="Calibri" w:hAnsi="Calibri"/>
          <w:sz w:val="21"/>
        </w:rPr>
        <w:t xml:space="preserve">). Parametr </w:t>
      </w:r>
      <w:r>
        <w:rPr>
          <w:rFonts w:ascii="Courier New" w:hAnsi="Courier New"/>
          <w:color w:val="C7254E"/>
          <w:sz w:val="19"/>
        </w:rPr>
        <w:t>&amp;key=...</w:t>
      </w:r>
      <w:r>
        <w:rPr>
          <w:rFonts w:ascii="Calibri" w:hAnsi="Calibri"/>
          <w:sz w:val="21"/>
        </w:rPr>
        <w:t xml:space="preserve"> to fragment query string URL strony potwierdzenia, który nieprawidłowo trafia do pola </w:t>
      </w:r>
      <w:r>
        <w:rPr>
          <w:rFonts w:ascii="Courier New" w:hAnsi="Courier New"/>
          <w:color w:val="C7254E"/>
          <w:sz w:val="19"/>
        </w:rPr>
        <w:t>transaction_id</w:t>
      </w:r>
      <w:r>
        <w:rPr>
          <w:rFonts w:ascii="Calibri" w:hAnsi="Calibri"/>
          <w:sz w:val="21"/>
        </w:rPr>
        <w:t xml:space="preserve">. Oznacza to, że DataLayer na stronie potwierdzenia zamówienia nie przekazuje czystego ID — zamiast tego prawdopodobnie używa </w:t>
      </w:r>
      <w:r>
        <w:rPr>
          <w:rFonts w:ascii="Courier New" w:hAnsi="Courier New"/>
          <w:color w:val="C7254E"/>
          <w:sz w:val="19"/>
        </w:rPr>
        <w:t>window.location.search</w:t>
      </w:r>
      <w:r>
        <w:rPr>
          <w:rFonts w:ascii="Calibri" w:hAnsi="Calibri"/>
          <w:sz w:val="21"/>
        </w:rPr>
        <w:t xml:space="preserve"> lub podobnej metody, która dołącza całe query string.</w:t>
      </w:r>
    </w:p>
    <w:p/>
    <w:p>
      <w:pPr>
        <w:spacing w:after="80"/>
      </w:pPr>
      <w:r>
        <w:rPr>
          <w:rFonts w:ascii="Calibri" w:hAnsi="Calibri"/>
          <w:b/>
          <w:sz w:val="21"/>
        </w:rPr>
        <w:t>Skutek:</w:t>
      </w:r>
      <w:r>
        <w:rPr>
          <w:rFonts w:ascii="Calibri" w:hAnsi="Calibri"/>
          <w:sz w:val="21"/>
        </w:rPr>
        <w:t xml:space="preserve"> Te transakcje nie mogą być prawidłowo deduplikowane ani łączone z danymi CRM. Transaction ID </w:t>
      </w:r>
      <w:r>
        <w:rPr>
          <w:rFonts w:ascii="Courier New" w:hAnsi="Courier New"/>
          <w:color w:val="C7254E"/>
          <w:sz w:val="19"/>
        </w:rPr>
        <w:t>210035</w:t>
      </w:r>
      <w:r>
        <w:rPr>
          <w:rFonts w:ascii="Calibri" w:hAnsi="Calibri"/>
          <w:sz w:val="21"/>
        </w:rPr>
        <w:t xml:space="preserve"> i </w:t>
      </w:r>
      <w:r>
        <w:rPr>
          <w:rFonts w:ascii="Courier New" w:hAnsi="Courier New"/>
          <w:color w:val="C7254E"/>
          <w:sz w:val="19"/>
        </w:rPr>
        <w:t>210035&amp;key=abc</w:t>
      </w:r>
      <w:r>
        <w:rPr>
          <w:rFonts w:ascii="Calibri" w:hAnsi="Calibri"/>
          <w:sz w:val="21"/>
        </w:rPr>
        <w:t xml:space="preserve"> są traktowane jako 2 różne zamówienia.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W DataLayer na stronie </w:t>
      </w:r>
      <w:r>
        <w:rPr>
          <w:rFonts w:ascii="Courier New" w:hAnsi="Courier New"/>
          <w:color w:val="C7254E"/>
          <w:sz w:val="19"/>
        </w:rPr>
        <w:t>order-confirmation</w:t>
      </w:r>
      <w:r>
        <w:rPr>
          <w:rFonts w:ascii="Calibri" w:hAnsi="Calibri"/>
          <w:sz w:val="21"/>
        </w:rPr>
        <w:t xml:space="preserve"> upewnić się, że </w:t>
      </w:r>
      <w:r>
        <w:rPr>
          <w:rFonts w:ascii="Courier New" w:hAnsi="Courier New"/>
          <w:color w:val="C7254E"/>
          <w:sz w:val="19"/>
        </w:rPr>
        <w:t>transaction_id</w:t>
      </w:r>
      <w:r>
        <w:rPr>
          <w:rFonts w:ascii="Calibri" w:hAnsi="Calibri"/>
          <w:sz w:val="21"/>
        </w:rPr>
        <w:t xml:space="preserve"> to wyłącznie numer zamówienia bez parametrów URL:</w:t>
      </w:r>
    </w:p>
    <w:p>
      <w:pPr>
        <w:spacing w:after="80"/>
      </w:pPr>
      <w:r>
        <w:rPr>
          <w:rFonts w:ascii="Calibri" w:hAnsi="Calibri"/>
          <w:sz w:val="21"/>
        </w:rPr>
        <w:t>```javascript</w:t>
      </w:r>
    </w:p>
    <w:p>
      <w:pPr>
        <w:spacing w:after="80"/>
      </w:pPr>
      <w:r>
        <w:rPr>
          <w:rFonts w:ascii="Calibri" w:hAnsi="Calibri"/>
          <w:sz w:val="21"/>
        </w:rPr>
        <w:t>dataLayer.push({</w:t>
      </w:r>
    </w:p>
    <w:p>
      <w:pPr>
        <w:spacing w:after="80"/>
      </w:pPr>
      <w:r>
        <w:rPr>
          <w:rFonts w:ascii="Calibri" w:hAnsi="Calibri"/>
          <w:sz w:val="21"/>
        </w:rPr>
        <w:t xml:space="preserve">  event: 'purchase',</w:t>
      </w:r>
    </w:p>
    <w:p>
      <w:pPr>
        <w:spacing w:after="80"/>
      </w:pPr>
      <w:r>
        <w:rPr>
          <w:rFonts w:ascii="Calibri" w:hAnsi="Calibri"/>
          <w:sz w:val="21"/>
        </w:rPr>
        <w:t xml:space="preserve">  ecommerce: {</w:t>
      </w:r>
    </w:p>
    <w:p>
      <w:pPr>
        <w:spacing w:after="80"/>
      </w:pPr>
      <w:r>
        <w:rPr>
          <w:rFonts w:ascii="Calibri" w:hAnsi="Calibri"/>
          <w:sz w:val="21"/>
        </w:rPr>
        <w:t xml:space="preserve">    transaction_id: '210035',  // ← tylko cyfry, bez &amp;key=...</w:t>
      </w:r>
    </w:p>
    <w:p>
      <w:pPr>
        <w:spacing w:after="80"/>
      </w:pPr>
      <w:r>
        <w:rPr>
          <w:rFonts w:ascii="Calibri" w:hAnsi="Calibri"/>
          <w:sz w:val="21"/>
        </w:rPr>
        <w:t xml:space="preserve">    value: 299.00,</w:t>
      </w:r>
    </w:p>
    <w:p>
      <w:pPr>
        <w:spacing w:after="80"/>
      </w:pPr>
      <w:r>
        <w:rPr>
          <w:rFonts w:ascii="Calibri" w:hAnsi="Calibri"/>
          <w:sz w:val="21"/>
        </w:rPr>
        <w:t xml:space="preserve">    currency: 'PLN',</w:t>
      </w:r>
    </w:p>
    <w:p>
      <w:pPr>
        <w:spacing w:after="80"/>
      </w:pPr>
      <w:r>
        <w:rPr>
          <w:rFonts w:ascii="Calibri" w:hAnsi="Calibri"/>
          <w:sz w:val="21"/>
        </w:rPr>
        <w:t xml:space="preserve">    items: [...]</w:t>
      </w:r>
    </w:p>
    <w:p>
      <w:pPr>
        <w:spacing w:after="80"/>
      </w:pPr>
      <w:r>
        <w:rPr>
          <w:rFonts w:ascii="Calibri" w:hAnsi="Calibri"/>
          <w:sz w:val="21"/>
        </w:rPr>
        <w:t xml:space="preserve">  }</w:t>
      </w:r>
    </w:p>
    <w:p>
      <w:pPr>
        <w:spacing w:after="80"/>
      </w:pPr>
      <w:r>
        <w:rPr>
          <w:rFonts w:ascii="Calibri" w:hAnsi="Calibri"/>
          <w:sz w:val="21"/>
        </w:rPr>
        <w:t>});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1.9 DataLayer GA4 — struktura e-commerce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Mieszana implementacja z poważnymi konsekwencjami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Wykryta jest mieszana, niejednorodna implementacja zdarzeń e-commerce — część przez </w:t>
      </w:r>
      <w:r>
        <w:rPr>
          <w:rFonts w:ascii="Courier New" w:hAnsi="Courier New"/>
          <w:color w:val="C7254E"/>
          <w:sz w:val="19"/>
        </w:rPr>
        <w:t>dataLayer.push()</w:t>
      </w:r>
      <w:r>
        <w:rPr>
          <w:rFonts w:ascii="Calibri" w:hAnsi="Calibri"/>
          <w:sz w:val="21"/>
        </w:rPr>
        <w:t xml:space="preserve"> (przez GTM), część przez bezpośrednie </w:t>
      </w:r>
      <w:r>
        <w:rPr>
          <w:rFonts w:ascii="Courier New" w:hAnsi="Courier New"/>
          <w:color w:val="C7254E"/>
          <w:sz w:val="19"/>
        </w:rPr>
        <w:t>gtag('event', ...)</w:t>
      </w:r>
      <w:r>
        <w:rPr>
          <w:rFonts w:ascii="Calibri" w:hAnsi="Calibri"/>
          <w:sz w:val="21"/>
        </w:rPr>
        <w:t xml:space="preserve"> zahardkodowane w HTML:</w:t>
      </w:r>
    </w:p>
    <w:p/>
    <w:p>
      <w:pPr>
        <w:spacing w:after="80"/>
      </w:pPr>
      <w:r>
        <w:rPr>
          <w:rFonts w:ascii="Calibri" w:hAnsi="Calibri"/>
          <w:b/>
          <w:sz w:val="21"/>
        </w:rPr>
        <w:t>Implementacja na stronie kategorii (hardcoded w HTML):</w:t>
      </w:r>
    </w:p>
    <w:p>
      <w:pPr>
        <w:spacing w:after="80"/>
      </w:pPr>
      <w:r>
        <w:rPr>
          <w:rFonts w:ascii="Calibri" w:hAnsi="Calibri"/>
          <w:sz w:val="21"/>
        </w:rPr>
        <w:t>```javascript</w:t>
      </w:r>
    </w:p>
    <w:p>
      <w:pPr>
        <w:spacing w:after="80"/>
      </w:pPr>
      <w:r>
        <w:rPr>
          <w:rFonts w:ascii="Calibri" w:hAnsi="Calibri"/>
          <w:sz w:val="21"/>
        </w:rPr>
        <w:t>gtag('event', 'view</w:t>
      </w:r>
      <w:r>
        <w:rPr>
          <w:rFonts w:ascii="Calibri" w:hAnsi="Calibri"/>
          <w:i/>
          <w:sz w:val="21"/>
        </w:rPr>
        <w:t>item</w:t>
      </w:r>
      <w:r>
        <w:rPr>
          <w:rFonts w:ascii="Calibri" w:hAnsi="Calibri"/>
          <w:sz w:val="21"/>
        </w:rPr>
        <w:t>list', {</w:t>
      </w:r>
    </w:p>
    <w:p>
      <w:pPr>
        <w:spacing w:after="80"/>
      </w:pPr>
      <w:r>
        <w:rPr>
          <w:rFonts w:ascii="Calibri" w:hAnsi="Calibri"/>
          <w:sz w:val="21"/>
        </w:rPr>
        <w:t xml:space="preserve">  item</w:t>
      </w:r>
      <w:r>
        <w:rPr>
          <w:rFonts w:ascii="Calibri" w:hAnsi="Calibri"/>
          <w:i/>
          <w:sz w:val="21"/>
        </w:rPr>
        <w:t>list</w:t>
      </w:r>
      <w:r>
        <w:rPr>
          <w:rFonts w:ascii="Calibri" w:hAnsi="Calibri"/>
          <w:sz w:val="21"/>
        </w:rPr>
        <w:t>id: 'category_page',</w:t>
      </w:r>
    </w:p>
    <w:p>
      <w:pPr>
        <w:spacing w:after="80"/>
      </w:pPr>
      <w:r>
        <w:rPr>
          <w:rFonts w:ascii="Calibri" w:hAnsi="Calibri"/>
          <w:sz w:val="21"/>
        </w:rPr>
        <w:t xml:space="preserve">  items: [{...}]</w:t>
      </w:r>
    </w:p>
    <w:p>
      <w:pPr>
        <w:spacing w:after="80"/>
      </w:pPr>
      <w:r>
        <w:rPr>
          <w:rFonts w:ascii="Calibri" w:hAnsi="Calibri"/>
          <w:sz w:val="21"/>
        </w:rPr>
        <w:t>});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/>
    <w:p>
      <w:pPr>
        <w:spacing w:after="80"/>
      </w:pPr>
      <w:r>
        <w:rPr>
          <w:rFonts w:ascii="Calibri" w:hAnsi="Calibri"/>
          <w:b/>
          <w:sz w:val="21"/>
        </w:rPr>
        <w:t>Implementacja na stronie produktu (przez GTM, poprawna):</w:t>
      </w:r>
    </w:p>
    <w:p>
      <w:pPr>
        <w:spacing w:after="80"/>
      </w:pPr>
      <w:r>
        <w:rPr>
          <w:rFonts w:ascii="Calibri" w:hAnsi="Calibri"/>
          <w:sz w:val="21"/>
        </w:rPr>
        <w:t>```javascript</w:t>
      </w:r>
    </w:p>
    <w:p>
      <w:pPr>
        <w:spacing w:after="80"/>
      </w:pPr>
      <w:r>
        <w:rPr>
          <w:rFonts w:ascii="Calibri" w:hAnsi="Calibri"/>
          <w:sz w:val="21"/>
        </w:rPr>
        <w:t>dataLayer.push({</w:t>
      </w:r>
    </w:p>
    <w:p>
      <w:pPr>
        <w:spacing w:after="80"/>
      </w:pPr>
      <w:r>
        <w:rPr>
          <w:rFonts w:ascii="Calibri" w:hAnsi="Calibri"/>
          <w:sz w:val="21"/>
        </w:rPr>
        <w:t xml:space="preserve">  event: 'view_item',</w:t>
      </w:r>
    </w:p>
    <w:p>
      <w:pPr>
        <w:spacing w:after="80"/>
      </w:pPr>
      <w:r>
        <w:rPr>
          <w:rFonts w:ascii="Calibri" w:hAnsi="Calibri"/>
          <w:sz w:val="21"/>
        </w:rPr>
        <w:t xml:space="preserve">  ecommerce: { items: [{...}] }</w:t>
      </w:r>
    </w:p>
    <w:p>
      <w:pPr>
        <w:spacing w:after="80"/>
      </w:pPr>
      <w:r>
        <w:rPr>
          <w:rFonts w:ascii="Calibri" w:hAnsi="Calibri"/>
          <w:sz w:val="21"/>
        </w:rPr>
        <w:t>});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/>
    <w:p>
      <w:pPr>
        <w:spacing w:after="80"/>
      </w:pPr>
      <w:r>
        <w:rPr>
          <w:rFonts w:ascii="Calibri" w:hAnsi="Calibri"/>
          <w:b/>
          <w:sz w:val="21"/>
        </w:rPr>
        <w:t>Problem z implementacją `purchase` — zdarzenie wywołuje się z OBU źródeł: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Z GTM (z pełnym obiektem </w:t>
      </w:r>
      <w:r>
        <w:rPr>
          <w:rFonts w:ascii="Courier New" w:hAnsi="Courier New"/>
          <w:color w:val="C7254E"/>
          <w:sz w:val="19"/>
        </w:rPr>
        <w:t>ecommerce</w:t>
      </w:r>
      <w:r>
        <w:rPr>
          <w:rFonts w:ascii="Calibri" w:hAnsi="Calibri"/>
          <w:sz w:val="21"/>
        </w:rPr>
        <w:t xml:space="preserve"> z DataLayer) → zawiera </w:t>
      </w:r>
      <w:r>
        <w:rPr>
          <w:rFonts w:ascii="Courier New" w:hAnsi="Courier New"/>
          <w:color w:val="C7254E"/>
          <w:sz w:val="19"/>
        </w:rPr>
        <w:t>transaction_id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items[]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value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Z hardcoded </w:t>
      </w:r>
      <w:r>
        <w:rPr>
          <w:rFonts w:ascii="Courier New" w:hAnsi="Courier New"/>
          <w:color w:val="C7254E"/>
          <w:sz w:val="19"/>
        </w:rPr>
        <w:t>gtag</w:t>
      </w:r>
      <w:r>
        <w:rPr>
          <w:rFonts w:ascii="Calibri" w:hAnsi="Calibri"/>
          <w:sz w:val="21"/>
        </w:rPr>
        <w:t xml:space="preserve"> (bez DataLayer) → brak </w:t>
      </w:r>
      <w:r>
        <w:rPr>
          <w:rFonts w:ascii="Courier New" w:hAnsi="Courier New"/>
          <w:color w:val="C7254E"/>
          <w:sz w:val="19"/>
        </w:rPr>
        <w:t>transaction_id</w:t>
      </w:r>
      <w:r>
        <w:rPr>
          <w:rFonts w:ascii="Calibri" w:hAnsi="Calibri"/>
          <w:sz w:val="21"/>
        </w:rPr>
        <w:t xml:space="preserve">, puste </w:t>
      </w:r>
      <w:r>
        <w:rPr>
          <w:rFonts w:ascii="Courier New" w:hAnsi="Courier New"/>
          <w:color w:val="C7254E"/>
          <w:sz w:val="19"/>
        </w:rPr>
        <w:t>items[]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To tłumaczy 452 eventy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z </w:t>
      </w:r>
      <w:r>
        <w:rPr>
          <w:rFonts w:ascii="Courier New" w:hAnsi="Courier New"/>
          <w:color w:val="C7254E"/>
          <w:sz w:val="19"/>
        </w:rPr>
        <w:t>transaction_id = (not set)</w:t>
      </w:r>
      <w:r>
        <w:rPr>
          <w:rFonts w:ascii="Calibri" w:hAnsi="Calibri"/>
          <w:sz w:val="21"/>
        </w:rPr>
        <w:t xml:space="preserve"> wykryte w GA4 (90d). Hardcoded gtag wysyła zdarzenie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bez dostępu do danych e-commerce z DataLayer — stąd puste transaction ID.</w:t>
      </w:r>
    </w:p>
    <w:p/>
    <w:p>
      <w:pPr>
        <w:spacing w:after="80"/>
      </w:pPr>
      <w:r>
        <w:rPr>
          <w:rFonts w:ascii="Calibri" w:hAnsi="Calibri"/>
          <w:b/>
          <w:sz w:val="21"/>
        </w:rPr>
        <w:t>Pełne porównanie: ecommercePurchases vs transactions (90d):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Kanał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transactions (unique)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ecommercePurchases (raw)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Ratio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Organic Search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719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2 319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3.23x ❌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Cross-network (PMax)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548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1 780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3.25x 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Email (Edrone)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241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874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3.63x ❌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Paid Social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142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856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6.03x 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Direct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614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5.12x ❌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Paid Search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119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407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3.42x 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**ŁĄCZNIE**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**2 159**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**7 616**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**3.53x ❌**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 xml:space="preserve">Każda transakcja wyzwala zdarzenie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średnio </w:t>
      </w:r>
      <w:r>
        <w:rPr>
          <w:rFonts w:ascii="Calibri" w:hAnsi="Calibri"/>
          <w:b/>
          <w:sz w:val="21"/>
        </w:rPr>
        <w:t>3.53 razy</w:t>
      </w:r>
      <w:r>
        <w:rPr>
          <w:rFonts w:ascii="Calibri" w:hAnsi="Calibri"/>
          <w:sz w:val="21"/>
        </w:rPr>
        <w:t xml:space="preserve">. To nie jest proste podwójne wdrożenie (2x) — ratio 3.53 sugeruje, że strona potwierdzenia zamówienia jest odwiedzana kilkakrotnie (np. użytkownik odświeża stronę, wraca z bramki płatności) i za każdym razem hardcoded gtag ponownie wysyła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>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Usunąć hardcoded </w:t>
      </w:r>
      <w:r>
        <w:rPr>
          <w:rFonts w:ascii="Courier New" w:hAnsi="Courier New"/>
          <w:color w:val="C7254E"/>
          <w:sz w:val="19"/>
        </w:rPr>
        <w:t>gtag</w:t>
      </w:r>
      <w:r>
        <w:rPr>
          <w:rFonts w:ascii="Calibri" w:hAnsi="Calibri"/>
          <w:sz w:val="21"/>
        </w:rPr>
        <w:t xml:space="preserve"> i przejść w 100% na implementację przez GTM + DataLayer.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1.10–1.20 Wykryte integracje na stronie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Zidentyfikowano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Narzędzie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GTM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GTM-MDGSP8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GA4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G-93NK3C48R3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Podwójnie wdrożone (GTM + hardcoded)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Google Ads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AW-769585117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Hardcoded poza GTM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Facebook Pixel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268133950519975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Edrone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v8.1.7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Klarna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 (⚠️ nie wykluczony z referral)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EqualWeb (accessibility)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Aktywny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LinkedIn Insight Tag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➖ Nie wykryto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Pinterest Tag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➖ Nie wykryto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Microsoft Clarity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➖ Nie wykryto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2 — ePrivacy / Consent Mode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2.1–2.2 Baner cookies — personalizacja i odrzucenie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Niski–Niski</w:t>
      </w:r>
    </w:p>
    <w:p/>
    <w:p>
      <w:pPr>
        <w:spacing w:after="80"/>
      </w:pPr>
      <w:r>
        <w:rPr>
          <w:rFonts w:ascii="Calibri" w:hAnsi="Calibri"/>
          <w:sz w:val="21"/>
        </w:rPr>
        <w:t>RODO wymaga granularnej zgody użytkownika na poszczególne kategorie cookies oraz możliwości ich odrzucenia.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— brak banera cookies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2.3 Strona domyślnie zablokowana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Brak banera = brak blokowania. Użytkownik może swobodnie przeglądać stronę bez podejmowania jakiejkolwiek decyzji dotyczącej prywatności.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2.4 Skuteczne blokowanie cookies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Niemożliwe do oceny — brak CMP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Mimo że </w:t>
      </w: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jest ustawiony z </w:t>
      </w:r>
      <w:r>
        <w:rPr>
          <w:rFonts w:ascii="Courier New" w:hAnsi="Courier New"/>
          <w:color w:val="C7254E"/>
          <w:sz w:val="19"/>
        </w:rPr>
        <w:t>analytics_storage: denied</w:t>
      </w:r>
      <w:r>
        <w:rPr>
          <w:rFonts w:ascii="Calibri" w:hAnsi="Calibri"/>
          <w:sz w:val="21"/>
        </w:rPr>
        <w:t xml:space="preserve">, brak banera oznacza że zgoda nigdy nie jest aktualizowana do </w:t>
      </w:r>
      <w:r>
        <w:rPr>
          <w:rFonts w:ascii="Courier New" w:hAnsi="Courier New"/>
          <w:color w:val="C7254E"/>
          <w:sz w:val="19"/>
        </w:rPr>
        <w:t>granted</w:t>
      </w:r>
      <w:r>
        <w:rPr>
          <w:rFonts w:ascii="Calibri" w:hAnsi="Calibri"/>
          <w:sz w:val="21"/>
        </w:rPr>
        <w:t xml:space="preserve">. W praktyce GA4 prawdopodobnie nie zbiera danych analitycznych dla żadnego użytkownika, który nie wyraził zgody — co może oznaczać że </w:t>
      </w:r>
      <w:r>
        <w:rPr>
          <w:rFonts w:ascii="Calibri" w:hAnsi="Calibri"/>
          <w:b/>
          <w:sz w:val="21"/>
        </w:rPr>
        <w:t>zbieramy tylko ułamek rzeczywistego ruchu</w:t>
      </w:r>
      <w:r>
        <w:rPr>
          <w:rFonts w:ascii="Calibri" w:hAnsi="Calibri"/>
          <w:sz w:val="21"/>
        </w:rPr>
        <w:t>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2.5–2.16 Pozostałe punkty Consent Mode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Niemożliwe do pełnej oceny bez CMP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Po wdrożeniu CMP należy przeprowadzić ponowną weryfikację: wywołania consent update w DataLayer, blokowania tagów w GTM, ustawień Consent Initialization, wysyłania PING-ów.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2.17 url_passthrough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ourier New" w:hAnsi="Courier New"/>
          <w:color w:val="C7254E"/>
          <w:sz w:val="19"/>
        </w:rPr>
        <w:t>url_passthrough</w:t>
      </w:r>
      <w:r>
        <w:rPr>
          <w:rFonts w:ascii="Calibri" w:hAnsi="Calibri"/>
          <w:sz w:val="21"/>
        </w:rPr>
        <w:t xml:space="preserve"> umożliwia modelowanie konwersji dla użytkowników bez cookies, przez przekazywanie parametrów w URL.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GTM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2.18–2.20 Dane wrażliwe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Wysoki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Brak oczywistych problemów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Wstępna analiza źródeł ruchu i referrali nie wykazała adresów email ani danych osobowych w URL-ach. Pełna weryfikacja parametrów zdarzeń wymaga przeglądu w BigQuery.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3 — Konfiguracja GA4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3A — Konfiguracja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3.1 Walidacja GTM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GTM-MDGSP8 jest aktywny na stronie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3.2 Powiadomienia i błędy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dostępu do panelu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 Consent settings dla tagów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dostępu do panelu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3.4 Conversion Linker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GTM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3.7 Brak kodów UA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brak tagów UA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3.8 GA4 wdrożone przez GTM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 — podwójne wdrożenie z ratio 3.53x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GA4 jest wdrożone w dwóch miejscach jednocześnie:</w:t>
      </w:r>
    </w:p>
    <w:p/>
    <w:p>
      <w:pPr>
        <w:spacing w:after="80"/>
      </w:pPr>
      <w:r>
        <w:rPr>
          <w:rFonts w:ascii="Calibri" w:hAnsi="Calibri"/>
          <w:b/>
          <w:sz w:val="21"/>
        </w:rPr>
        <w:t>Miejsce 1 — hardcoded bezpośrednio w `&lt;head&gt;` HTML</w:t>
      </w:r>
      <w:r>
        <w:rPr>
          <w:rFonts w:ascii="Calibri" w:hAnsi="Calibri"/>
          <w:sz w:val="21"/>
        </w:rPr>
        <w:t xml:space="preserve"> (poza GTM, na każdej podstronie):</w:t>
      </w:r>
    </w:p>
    <w:p>
      <w:pPr>
        <w:spacing w:after="80"/>
      </w:pPr>
      <w:r>
        <w:rPr>
          <w:rFonts w:ascii="Calibri" w:hAnsi="Calibri"/>
          <w:sz w:val="21"/>
        </w:rPr>
        <w:t>```html</w:t>
      </w:r>
    </w:p>
    <w:p>
      <w:pPr>
        <w:spacing w:after="80"/>
      </w:pPr>
      <w:r>
        <w:rPr>
          <w:rFonts w:ascii="Calibri" w:hAnsi="Calibri"/>
          <w:sz w:val="21"/>
        </w:rPr>
        <w:t>&lt;!-- Google tag (gtag.js) — zahardkodowane w szablonie PrestaShop --&gt;</w:t>
      </w:r>
    </w:p>
    <w:p>
      <w:pPr>
        <w:spacing w:after="80"/>
      </w:pPr>
      <w:r>
        <w:rPr>
          <w:rFonts w:ascii="Calibri" w:hAnsi="Calibri"/>
          <w:sz w:val="21"/>
        </w:rPr>
        <w:t>&lt;script async src="https://www.googletagmanager.com/gtag/js?id=G-93NK3C48R3"&gt;&lt;/script&gt;</w:t>
      </w:r>
    </w:p>
    <w:p>
      <w:pPr>
        <w:spacing w:after="80"/>
      </w:pPr>
      <w:r>
        <w:rPr>
          <w:rFonts w:ascii="Calibri" w:hAnsi="Calibri"/>
          <w:sz w:val="21"/>
        </w:rPr>
        <w:t>&lt;script&gt;</w:t>
      </w:r>
    </w:p>
    <w:p>
      <w:pPr>
        <w:spacing w:after="80"/>
      </w:pPr>
      <w:r>
        <w:rPr>
          <w:rFonts w:ascii="Calibri" w:hAnsi="Calibri"/>
          <w:sz w:val="21"/>
        </w:rPr>
        <w:t xml:space="preserve">  window.dataLayer = window.dataLayer || [];</w:t>
      </w:r>
    </w:p>
    <w:p>
      <w:pPr>
        <w:spacing w:after="80"/>
      </w:pPr>
      <w:r>
        <w:rPr>
          <w:rFonts w:ascii="Calibri" w:hAnsi="Calibri"/>
          <w:sz w:val="21"/>
        </w:rPr>
        <w:t xml:space="preserve">  function gtag(){dataLayer.push(arguments);}</w:t>
      </w:r>
    </w:p>
    <w:p>
      <w:pPr>
        <w:spacing w:after="80"/>
      </w:pPr>
      <w:r>
        <w:rPr>
          <w:rFonts w:ascii="Calibri" w:hAnsi="Calibri"/>
          <w:sz w:val="21"/>
        </w:rPr>
        <w:t xml:space="preserve">  gtag('js', new Date());</w:t>
      </w:r>
    </w:p>
    <w:p>
      <w:pPr>
        <w:spacing w:after="80"/>
      </w:pPr>
      <w:r>
        <w:rPr>
          <w:rFonts w:ascii="Calibri" w:hAnsi="Calibri"/>
          <w:sz w:val="21"/>
        </w:rPr>
        <w:t xml:space="preserve">  gtag('config', 'G-93NK3C48R3', { 'send</w:t>
      </w:r>
      <w:r>
        <w:rPr>
          <w:rFonts w:ascii="Calibri" w:hAnsi="Calibri"/>
          <w:i/>
          <w:sz w:val="21"/>
        </w:rPr>
        <w:t>page</w:t>
      </w:r>
      <w:r>
        <w:rPr>
          <w:rFonts w:ascii="Calibri" w:hAnsi="Calibri"/>
          <w:sz w:val="21"/>
        </w:rPr>
        <w:t>view': true });</w:t>
      </w:r>
    </w:p>
    <w:p>
      <w:pPr>
        <w:spacing w:after="80"/>
      </w:pPr>
      <w:r>
        <w:rPr>
          <w:rFonts w:ascii="Calibri" w:hAnsi="Calibri"/>
          <w:sz w:val="21"/>
        </w:rPr>
        <w:t>&lt;/script&gt;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/>
    <w:p>
      <w:pPr>
        <w:spacing w:after="80"/>
      </w:pPr>
      <w:r>
        <w:rPr>
          <w:rFonts w:ascii="Calibri" w:hAnsi="Calibri"/>
          <w:b/>
          <w:sz w:val="21"/>
        </w:rPr>
        <w:t>Miejsce 2 — przez GTM (GTM-MDGSP8)</w:t>
      </w:r>
      <w:r>
        <w:rPr>
          <w:rFonts w:ascii="Calibri" w:hAnsi="Calibri"/>
          <w:sz w:val="21"/>
        </w:rPr>
        <w:t xml:space="preserve">, gdzie istnieje tag "GA4 Configuration" z tym samym Measurement ID </w:t>
      </w:r>
      <w:r>
        <w:rPr>
          <w:rFonts w:ascii="Courier New" w:hAnsi="Courier New"/>
          <w:color w:val="C7254E"/>
          <w:sz w:val="19"/>
        </w:rPr>
        <w:t>G-93NK3C48R3</w:t>
      </w:r>
      <w:r>
        <w:rPr>
          <w:rFonts w:ascii="Calibri" w:hAnsi="Calibri"/>
          <w:sz w:val="21"/>
        </w:rPr>
        <w:t>.</w:t>
      </w:r>
    </w:p>
    <w:p/>
    <w:p>
      <w:pPr>
        <w:spacing w:after="80"/>
      </w:pPr>
      <w:r>
        <w:rPr>
          <w:rFonts w:ascii="Calibri" w:hAnsi="Calibri"/>
          <w:b/>
          <w:sz w:val="21"/>
        </w:rPr>
        <w:t>Analogicznie: Google Ads hardcoded poza GTM:</w:t>
      </w:r>
    </w:p>
    <w:p>
      <w:pPr>
        <w:spacing w:after="80"/>
      </w:pPr>
      <w:r>
        <w:rPr>
          <w:rFonts w:ascii="Calibri" w:hAnsi="Calibri"/>
          <w:sz w:val="21"/>
        </w:rPr>
        <w:t>```html</w:t>
      </w:r>
    </w:p>
    <w:p>
      <w:pPr>
        <w:spacing w:after="80"/>
      </w:pPr>
      <w:r>
        <w:rPr>
          <w:rFonts w:ascii="Calibri" w:hAnsi="Calibri"/>
          <w:sz w:val="21"/>
        </w:rPr>
        <w:t>&lt;script&gt;</w:t>
      </w:r>
    </w:p>
    <w:p>
      <w:pPr>
        <w:spacing w:after="80"/>
      </w:pPr>
      <w:r>
        <w:rPr>
          <w:rFonts w:ascii="Calibri" w:hAnsi="Calibri"/>
          <w:sz w:val="21"/>
        </w:rPr>
        <w:t xml:space="preserve">  gtag('config', 'AW-769585117');</w:t>
      </w:r>
    </w:p>
    <w:p>
      <w:pPr>
        <w:spacing w:after="80"/>
      </w:pPr>
      <w:r>
        <w:rPr>
          <w:rFonts w:ascii="Calibri" w:hAnsi="Calibri"/>
          <w:sz w:val="21"/>
        </w:rPr>
        <w:t>&lt;/script&gt;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/>
    <w:p>
      <w:pPr>
        <w:spacing w:after="80"/>
      </w:pPr>
      <w:r>
        <w:rPr>
          <w:rFonts w:ascii="Calibri" w:hAnsi="Calibri"/>
          <w:b/>
          <w:sz w:val="21"/>
        </w:rPr>
        <w:t>Dowody na podwójne liczenie z danych GA4 API (90 dni):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Interpretacja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`ecommercePurchases` (raw eventy)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7 616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Tyle razy wywołało się zdarzenie `purchase`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`transactions` (unikalne ID)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2 159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Tyle jest rzeczywistych zamówień (GA4 dedupl.)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Ratio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**3.53x**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Każda transakcja wysyła purchase event ~3.5 razy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`begin_checkout` (eventy)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5 874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Wywołuje się tylko przez GTM — nie jest hardcoded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purchase &gt; begin_checkout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**129.7%**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Matematycznie niemożliwe — bezpośredni dowód duplikacji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`(not set)` transaction ID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**452 eventy**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Hardcoded gtag wysyła purchase bez transaction_id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Malformed transaction 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`210035&amp;key=1abe2783...`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URL query string wchodzi w skład ID zamówienia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Mechanizm powielenia: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Użytkownik finalizuje zakup → PrestaShop ładuje stronę potwierdzenia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Hardcoded </w:t>
      </w:r>
      <w:r>
        <w:rPr>
          <w:rFonts w:ascii="Courier New" w:hAnsi="Courier New"/>
          <w:color w:val="C7254E"/>
          <w:sz w:val="19"/>
        </w:rPr>
        <w:t>gtag('config', 'G-93NK3C48R3')</w:t>
      </w:r>
      <w:r>
        <w:rPr>
          <w:rFonts w:ascii="Calibri" w:hAnsi="Calibri"/>
          <w:sz w:val="21"/>
        </w:rPr>
        <w:t xml:space="preserve"> inicjalizuje GA4 i wysyła </w:t>
      </w:r>
      <w:r>
        <w:rPr>
          <w:rFonts w:ascii="Courier New" w:hAnsi="Courier New"/>
          <w:color w:val="C7254E"/>
          <w:sz w:val="19"/>
        </w:rPr>
        <w:t>page_view</w:t>
      </w:r>
      <w:r>
        <w:rPr>
          <w:rFonts w:ascii="Calibri" w:hAnsi="Calibri"/>
          <w:sz w:val="21"/>
        </w:rPr>
        <w:t xml:space="preserve"> (raz)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GTM ładuje się i wywołuje tag GA4 Configuration → kolejny </w:t>
      </w:r>
      <w:r>
        <w:rPr>
          <w:rFonts w:ascii="Courier New" w:hAnsi="Courier New"/>
          <w:color w:val="C7254E"/>
          <w:sz w:val="19"/>
        </w:rPr>
        <w:t>page_view</w:t>
      </w:r>
      <w:r>
        <w:rPr>
          <w:rFonts w:ascii="Calibri" w:hAnsi="Calibri"/>
          <w:sz w:val="21"/>
        </w:rPr>
        <w:t xml:space="preserve"> (dwa razy)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Hardcoded skrypt wywołuje </w:t>
      </w:r>
      <w:r>
        <w:rPr>
          <w:rFonts w:ascii="Courier New" w:hAnsi="Courier New"/>
          <w:color w:val="C7254E"/>
          <w:sz w:val="19"/>
        </w:rPr>
        <w:t>gtag('event', 'purchase', {...})</w:t>
      </w:r>
      <w:r>
        <w:rPr>
          <w:rFonts w:ascii="Calibri" w:hAnsi="Calibri"/>
          <w:sz w:val="21"/>
        </w:rPr>
        <w:t xml:space="preserve"> → bez transaction_id (eventy </w:t>
      </w:r>
      <w:r>
        <w:rPr>
          <w:rFonts w:ascii="Courier New" w:hAnsi="Courier New"/>
          <w:color w:val="C7254E"/>
          <w:sz w:val="19"/>
        </w:rPr>
        <w:t>not set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GTM odczytuje DataLayer i wywołuje zdarzenie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z pełnymi danymi ecommerce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Użytkownik nierzadko odświeża stronę lub wraca z bramki płatności → cały cykl od nowa</w:t>
      </w:r>
    </w:p>
    <w:p/>
    <w:p>
      <w:pPr>
        <w:spacing w:after="80"/>
      </w:pPr>
      <w:r>
        <w:rPr>
          <w:rFonts w:ascii="Calibri" w:hAnsi="Calibri"/>
          <w:sz w:val="21"/>
        </w:rPr>
        <w:t>Stąd ratio 3.53x zamiast oczekiwanego 2x — strona potwierdzenia jest wielokrotnie odświeżana.</w:t>
      </w:r>
    </w:p>
    <w:p/>
    <w:p>
      <w:pPr>
        <w:spacing w:after="80"/>
      </w:pPr>
      <w:r>
        <w:rPr>
          <w:rFonts w:ascii="Calibri" w:hAnsi="Calibri"/>
          <w:b/>
          <w:sz w:val="21"/>
        </w:rPr>
        <w:t>Które metryki są zainfekowane: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ecommercePurchases</w:t>
      </w:r>
      <w:r>
        <w:rPr>
          <w:rFonts w:ascii="Calibri" w:hAnsi="Calibri"/>
          <w:sz w:val="21"/>
        </w:rPr>
        <w:t xml:space="preserve"> (7 616) — </w:t>
      </w:r>
      <w:r>
        <w:rPr>
          <w:rFonts w:ascii="Calibri" w:hAnsi="Calibri"/>
          <w:b/>
          <w:sz w:val="21"/>
        </w:rPr>
        <w:t>zawyżone 3.5x</w:t>
      </w:r>
      <w:r>
        <w:rPr>
          <w:rFonts w:ascii="Calibri" w:hAnsi="Calibri"/>
          <w:sz w:val="21"/>
        </w:rPr>
        <w:t>, niewiarygodne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eventCount</w:t>
      </w:r>
      <w:r>
        <w:rPr>
          <w:rFonts w:ascii="Calibri" w:hAnsi="Calibri"/>
          <w:sz w:val="21"/>
        </w:rPr>
        <w:t xml:space="preserve"> dla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b/>
          <w:sz w:val="21"/>
        </w:rPr>
        <w:t>zawyżone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sessionDuration</w:t>
      </w:r>
      <w:r>
        <w:rPr>
          <w:rFonts w:ascii="Calibri" w:hAnsi="Calibri"/>
          <w:sz w:val="21"/>
        </w:rPr>
        <w:t xml:space="preserve"> (20.4 min) — </w:t>
      </w:r>
      <w:r>
        <w:rPr>
          <w:rFonts w:ascii="Calibri" w:hAnsi="Calibri"/>
          <w:b/>
          <w:sz w:val="21"/>
        </w:rPr>
        <w:t>prawdopodobnie zawyżone</w:t>
      </w:r>
      <w:r>
        <w:rPr>
          <w:rFonts w:ascii="Calibri" w:hAnsi="Calibri"/>
          <w:sz w:val="21"/>
        </w:rPr>
        <w:t xml:space="preserve"> przez duplikowane page_view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transactions</w:t>
      </w:r>
      <w:r>
        <w:rPr>
          <w:rFonts w:ascii="Calibri" w:hAnsi="Calibri"/>
          <w:sz w:val="21"/>
        </w:rPr>
        <w:t xml:space="preserve"> (2 159) i </w:t>
      </w:r>
      <w:r>
        <w:rPr>
          <w:rFonts w:ascii="Courier New" w:hAnsi="Courier New"/>
          <w:color w:val="C7254E"/>
          <w:sz w:val="19"/>
        </w:rPr>
        <w:t>purchaseRevenue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b/>
          <w:sz w:val="21"/>
        </w:rPr>
        <w:t>prawdopodobnie bliskie prawdy</w:t>
      </w:r>
      <w:r>
        <w:rPr>
          <w:rFonts w:ascii="Calibri" w:hAnsi="Calibri"/>
          <w:sz w:val="21"/>
        </w:rPr>
        <w:t xml:space="preserve"> (GA4 deduplicates by transaction_id)</w:t>
      </w:r>
    </w:p>
    <w:p/>
    <w:p>
      <w:pPr>
        <w:spacing w:after="80"/>
      </w:pPr>
      <w:r>
        <w:rPr>
          <w:rFonts w:ascii="Calibri" w:hAnsi="Calibri"/>
          <w:b/>
          <w:sz w:val="21"/>
        </w:rPr>
        <w:t>Co jest wiarygodne: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Liczba unikalnych transakcji: </w:t>
      </w:r>
      <w:r>
        <w:rPr>
          <w:rFonts w:ascii="Courier New" w:hAnsi="Courier New"/>
          <w:color w:val="C7254E"/>
          <w:sz w:val="19"/>
        </w:rPr>
        <w:t>transactions</w:t>
      </w:r>
      <w:r>
        <w:rPr>
          <w:rFonts w:ascii="Calibri" w:hAnsi="Calibri"/>
          <w:sz w:val="21"/>
        </w:rPr>
        <w:t xml:space="preserve"> = 2 159 (90d) ≈ ~720/mies.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Przychód: </w:t>
      </w:r>
      <w:r>
        <w:rPr>
          <w:rFonts w:ascii="Courier New" w:hAnsi="Courier New"/>
          <w:color w:val="C7254E"/>
          <w:sz w:val="19"/>
        </w:rPr>
        <w:t>purchaseRevenue</w:t>
      </w:r>
      <w:r>
        <w:rPr>
          <w:rFonts w:ascii="Calibri" w:hAnsi="Calibri"/>
          <w:sz w:val="21"/>
        </w:rPr>
        <w:t xml:space="preserve"> = 2 628 465 PLN (90d) — po deduplikacji transaction ID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Metryki ruchu: sesje, użytkownicy, kanały — nieskażone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Usunąć z szablonu PrestaShop fragmenty:</w:t>
      </w:r>
    </w:p>
    <w:p>
      <w:pPr>
        <w:spacing w:after="80"/>
      </w:pPr>
      <w:r>
        <w:rPr>
          <w:rFonts w:ascii="Calibri" w:hAnsi="Calibri"/>
          <w:sz w:val="21"/>
        </w:rPr>
        <w:t>```html</w:t>
      </w:r>
    </w:p>
    <w:p>
      <w:pPr>
        <w:spacing w:after="80"/>
      </w:pPr>
      <w:r>
        <w:rPr>
          <w:rFonts w:ascii="Calibri" w:hAnsi="Calibri"/>
          <w:sz w:val="21"/>
        </w:rPr>
        <w:t>&lt;!-- USUNĄĆ: --&gt;</w:t>
      </w:r>
    </w:p>
    <w:p>
      <w:pPr>
        <w:spacing w:after="80"/>
      </w:pPr>
      <w:r>
        <w:rPr>
          <w:rFonts w:ascii="Calibri" w:hAnsi="Calibri"/>
          <w:sz w:val="21"/>
        </w:rPr>
        <w:t>&lt;script async src="https://www.googletagmanager.com/gtag/js?id=G-93NK3C48R3"&gt;&lt;/script&gt;</w:t>
      </w:r>
    </w:p>
    <w:p>
      <w:pPr>
        <w:spacing w:after="80"/>
      </w:pPr>
      <w:r>
        <w:rPr>
          <w:rFonts w:ascii="Calibri" w:hAnsi="Calibri"/>
          <w:sz w:val="21"/>
        </w:rPr>
        <w:t>&lt;script&gt;gtag('config', 'G-93NK3C48R3', {...});&lt;/script&gt;</w:t>
      </w:r>
    </w:p>
    <w:p>
      <w:pPr>
        <w:spacing w:after="80"/>
      </w:pPr>
      <w:r>
        <w:rPr>
          <w:rFonts w:ascii="Calibri" w:hAnsi="Calibri"/>
          <w:sz w:val="21"/>
        </w:rPr>
        <w:t>&lt;script&gt;gtag('config', 'AW-769585117');&lt;/script&gt;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>
      <w:pPr>
        <w:spacing w:after="80"/>
      </w:pPr>
      <w:r>
        <w:rPr>
          <w:rFonts w:ascii="Calibri" w:hAnsi="Calibri"/>
          <w:sz w:val="21"/>
        </w:rPr>
        <w:t>GA4 i Google Ads powinny być wdrożone WYŁĄCZNIE przez GTM-MDGSP8.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3B — GTM Server Side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➖ Nie dotyczy — sGTM nie jest wdrożony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3C — Konfiguracja GA4 (Konto i Administracja)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3.21 Alerty i powiadomienia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panelu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3.24 Weryfikacja uprawnień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panelu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3D — Ustawienia Usługi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Parametr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Nazwa usługi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www.aryton.pl – GA4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Strefa czasowa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Europe/Warsaw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Waluta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PLN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Branża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26 (Odzież i akcesoria)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Poziom usługi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Standard (nie 360)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ℹ️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3E — Zbieranie i modyfikowanie danych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3.30 Google Signals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Google Signals włączone (state=1)</w:t>
      </w:r>
    </w:p>
    <w:p/>
    <w:p>
      <w:pPr>
        <w:spacing w:after="80"/>
      </w:pPr>
      <w:r>
        <w:rPr>
          <w:rFonts w:ascii="Calibri" w:hAnsi="Calibri"/>
          <w:sz w:val="21"/>
        </w:rPr>
        <w:t>Google Signals łączy dane o użytkownikach korzystających z wielu urządzeń, jeśli są zalogowani do konta Google. Dzięki temu raportowanie cross-device jest bardziej precyzyjne.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3.34 Retencja danych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ustawione 14 miesięcy (retention=3)</w:t>
      </w:r>
    </w:p>
    <w:p/>
    <w:p>
      <w:pPr>
        <w:spacing w:after="80"/>
      </w:pPr>
      <w:r>
        <w:rPr>
          <w:rFonts w:ascii="Calibri" w:hAnsi="Calibri"/>
          <w:sz w:val="21"/>
        </w:rPr>
        <w:t>Maksymalny dostępny czas przechowywania danych szczegółowych. Wiele kont ma domyślne 2 miesiące — tutaj jest poprawnie.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3.36 Filtry danych — ruch wewnętrzny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Brak pełnej konfiguracji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 danych referral wykryto </w:t>
      </w:r>
      <w:r>
        <w:rPr>
          <w:rFonts w:ascii="Courier New" w:hAnsi="Courier New"/>
          <w:color w:val="C7254E"/>
          <w:sz w:val="19"/>
        </w:rPr>
        <w:t>dev18.arytondev.local / referral</w:t>
      </w:r>
      <w:r>
        <w:rPr>
          <w:rFonts w:ascii="Calibri" w:hAnsi="Calibri"/>
          <w:sz w:val="21"/>
        </w:rPr>
        <w:t xml:space="preserve"> (13 sesji) oraz </w:t>
      </w:r>
      <w:r>
        <w:rPr>
          <w:rFonts w:ascii="Courier New" w:hAnsi="Courier New"/>
          <w:color w:val="C7254E"/>
          <w:sz w:val="19"/>
        </w:rPr>
        <w:t>arytonpl.sharepoint.com / referral</w:t>
      </w:r>
      <w:r>
        <w:rPr>
          <w:rFonts w:ascii="Calibri" w:hAnsi="Calibri"/>
          <w:sz w:val="21"/>
        </w:rPr>
        <w:t xml:space="preserve"> (49 sesji). Sugeruje to, że ruch deweloperski i wewnętrzny nie jest w pełni filtrowany.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Skonfigurować filtr ruchu wewnętrznego w GA4 → Admin → Filtry danych oraz dodać </w:t>
      </w:r>
      <w:r>
        <w:rPr>
          <w:rFonts w:ascii="Courier New" w:hAnsi="Courier New"/>
          <w:color w:val="C7254E"/>
          <w:sz w:val="19"/>
        </w:rPr>
        <w:t>dev18.arytondev.local</w:t>
      </w:r>
      <w:r>
        <w:rPr>
          <w:rFonts w:ascii="Calibri" w:hAnsi="Calibri"/>
          <w:sz w:val="21"/>
        </w:rPr>
        <w:t xml:space="preserve"> i </w:t>
      </w:r>
      <w:r>
        <w:rPr>
          <w:rFonts w:ascii="Courier New" w:hAnsi="Courier New"/>
          <w:color w:val="C7254E"/>
          <w:sz w:val="19"/>
        </w:rPr>
        <w:t>arytonpl.sharepoint.com</w:t>
      </w:r>
      <w:r>
        <w:rPr>
          <w:rFonts w:ascii="Calibri" w:hAnsi="Calibri"/>
          <w:sz w:val="21"/>
        </w:rPr>
        <w:t xml:space="preserve"> do listy niechcianych witryn odsyłających.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3F — Strumienie danych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3.37 Strumień Web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patrizia.aryton.pl – GA4 (ID: 3954589560) aktywny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Wykryto tylko 1 strumień — Web. Brak strumieni iOS/Android (brak aplikacji mobilnej).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3.45 Cross-domain tracking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🔒 Wymaga weryfikacji w ustawieniach strumienia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3.52–3.53 Wykluczenie bramek pocztowych i płatności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krytyczny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W danych referral widoczne są: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Bramki pocztowe:</w:t>
      </w:r>
      <w:r>
        <w:rPr>
          <w:rFonts w:ascii="Calibri" w:hAnsi="Calibri"/>
          <w:sz w:val="21"/>
        </w:rPr>
        <w:t xml:space="preserve"> poczta.onet.pl (637 sesji), poczta.wp.pl (411), poczta.o2.pl (202), poczta.interia.pl (174) — łącznie </w:t>
      </w:r>
      <w:r>
        <w:rPr>
          <w:rFonts w:ascii="Calibri" w:hAnsi="Calibri"/>
          <w:b/>
          <w:sz w:val="21"/>
        </w:rPr>
        <w:t>1 424 sesje</w:t>
      </w:r>
      <w:r>
        <w:rPr>
          <w:rFonts w:ascii="Calibri" w:hAnsi="Calibri"/>
          <w:sz w:val="21"/>
        </w:rPr>
        <w:t xml:space="preserve"> z poczty wpadają jako referral zamiast email</w:t>
      </w:r>
    </w:p>
    <w:p>
      <w:pPr>
        <w:pStyle w:val="ListBullet"/>
        <w:spacing w:after="40"/>
        <w:ind w:left="0"/>
      </w:pPr>
      <w:r>
        <w:rPr>
          <w:rFonts w:ascii="Calibri" w:hAnsi="Calibri"/>
          <w:b/>
          <w:sz w:val="21"/>
        </w:rPr>
        <w:t>Bramka płatności:</w:t>
      </w:r>
      <w:r>
        <w:rPr>
          <w:rFonts w:ascii="Calibri" w:hAnsi="Calibri"/>
          <w:sz w:val="21"/>
        </w:rPr>
        <w:t xml:space="preserve"> klarna / referral (</w:t>
      </w:r>
      <w:r>
        <w:rPr>
          <w:rFonts w:ascii="Calibri" w:hAnsi="Calibri"/>
          <w:b/>
          <w:sz w:val="21"/>
        </w:rPr>
        <w:t>174 sesji, 8 transakcji</w:t>
      </w:r>
      <w:r>
        <w:rPr>
          <w:rFonts w:ascii="Calibri" w:hAnsi="Calibri"/>
          <w:sz w:val="21"/>
        </w:rPr>
        <w:t>) — zakupy przez Klarną są błędnie przypisywane jako ruch z Klarna zamiast do właściwego kanału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Dodać do listy niechcianych witryn odsyłających: poczta.onet.pl, poczta.wp.pl, poczta.o2.pl, poczta.interia.pl, klarna.com i jej warianty.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3G — Zarządzanie strumieniem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3.55 Czas trwania sesji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Do weryfikacji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Średni czas sesji wynosi </w:t>
      </w:r>
      <w:r>
        <w:rPr>
          <w:rFonts w:ascii="Calibri" w:hAnsi="Calibri"/>
          <w:b/>
          <w:sz w:val="21"/>
        </w:rPr>
        <w:t>20,4 minuty</w:t>
      </w:r>
      <w:r>
        <w:rPr>
          <w:rFonts w:ascii="Calibri" w:hAnsi="Calibri"/>
          <w:sz w:val="21"/>
        </w:rPr>
        <w:t xml:space="preserve"> — wartość wyjątkowo wysoka, prawdopodobnie sztucznie zawyżona przez podwójne wdrożenie GA4 (sesje są liczone podwójnie co wydłuża czas). Po naprawie duplikacji należy zweryfikować czy czas trwania sesji jest wiarygodny i rozważyć ustawienie go na 5h.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3H — Wyświetlanie danych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3.58 Zdarzenia jako konwersje</w:t>
      </w:r>
    </w:p>
    <w:p/>
    <w:p>
      <w:pPr>
        <w:spacing w:after="80"/>
      </w:pPr>
      <w:r>
        <w:rPr>
          <w:rFonts w:ascii="Calibri" w:hAnsi="Calibri"/>
          <w:b/>
          <w:sz w:val="21"/>
        </w:rPr>
        <w:t>Priorytet:</w:t>
      </w:r>
      <w:r>
        <w:rPr>
          <w:rFonts w:ascii="Calibri" w:hAnsi="Calibri"/>
          <w:sz w:val="21"/>
        </w:rPr>
        <w:t xml:space="preserve"> Średni</w:t>
      </w:r>
    </w:p>
    <w:p/>
    <w:p>
      <w:pPr>
        <w:spacing w:after="80"/>
      </w:pPr>
      <w:r>
        <w:rPr>
          <w:rFonts w:ascii="Calibri" w:hAnsi="Calibri"/>
          <w:sz w:val="21"/>
        </w:rPr>
        <w:t>Oznaczenie kluczowych zdarzeń jako konwersje umożliwia ich optymalizację w kampaniach reklamowych i śledzenie w raportach konwersji.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⚠️ Niepełne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Jako konwersja oznaczony jest wyłącznie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>. Brakuje: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— optymalizacja kampanii pod inicjowanie zakupu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add_to_cart</w:t>
      </w:r>
      <w:r>
        <w:rPr>
          <w:rFonts w:ascii="Calibri" w:hAnsi="Calibri"/>
          <w:sz w:val="21"/>
        </w:rPr>
        <w:t xml:space="preserve"> — opcjonalnie, dla kampanii remarketingowych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Oznaczyć jako konwersje: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, opcjonalnie </w:t>
      </w:r>
      <w:r>
        <w:rPr>
          <w:rFonts w:ascii="Courier New" w:hAnsi="Courier New"/>
          <w:color w:val="C7254E"/>
          <w:sz w:val="19"/>
        </w:rPr>
        <w:t>add_to_cart</w:t>
      </w:r>
      <w:r>
        <w:rPr>
          <w:rFonts w:ascii="Calibri" w:hAnsi="Calibri"/>
          <w:sz w:val="21"/>
        </w:rPr>
        <w:t>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3.59 Odbiorcy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10 grup odbiorców zdefiniowanych: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All Users, Purchasers, Kupili na stronie | 180D, Wyświetlili produkt | 30D, Dodali do koszyka | 14D, + 5 kolejnych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3I — Połączenie usług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Integracja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Uwagi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Google Ads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Podłączone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customer_id: 1968676668, reklamy spersonalizowane: TAK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BigQuery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Podłączone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Daily export aktywny, streaming wyłączony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Search Console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🔒 Nie zweryfikowano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API nie zwróciło danych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Firebase / GA360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707070"/>
                <w:sz w:val="19"/>
              </w:rPr>
              <w:t>➖ Brak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Nie dotyczy</w:t>
            </w:r>
          </w:p>
        </w:tc>
      </w:tr>
    </w:tbl>
    <w:p/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3J — Raporty i alerty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3.64 Model atrybucji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Data-Driven (reporting</w:t>
      </w:r>
      <w:r>
        <w:rPr>
          <w:rFonts w:ascii="Calibri" w:hAnsi="Calibri"/>
          <w:i/>
          <w:sz w:val="21"/>
        </w:rPr>
        <w:t>attribution</w:t>
      </w:r>
      <w:r>
        <w:rPr>
          <w:rFonts w:ascii="Calibri" w:hAnsi="Calibri"/>
          <w:sz w:val="21"/>
        </w:rPr>
        <w:t>model=1)</w:t>
      </w:r>
    </w:p>
    <w:p/>
    <w:p>
      <w:pPr>
        <w:spacing w:after="80"/>
      </w:pPr>
      <w:r>
        <w:rPr>
          <w:rFonts w:ascii="Calibri" w:hAnsi="Calibri"/>
          <w:sz w:val="21"/>
        </w:rPr>
        <w:t>Najlepsza dostępna opcja — model oparty na danych Google ML.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3.65–3.66 Zasięg i okna konwersji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acquisition: 30 dni, inne: 90 dni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4 — Data Quality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4A — Przegląd ruchu (90 dni: 999 044 sesji)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4.1–4.2 Udział (not set) w sesjach i użytkownikach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Sesje (not set)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2,1%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Poniżej 5%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Direct/(none)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5,1%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Normalny poziom</w:t>
            </w:r>
          </w:p>
        </w:tc>
      </w:tr>
    </w:tbl>
    <w:p/>
    <w:p>
      <w:pPr>
        <w:pStyle w:val="Heading4"/>
      </w:pPr>
      <w:r>
        <w:rPr>
          <w:rFonts w:ascii="Calibri" w:hAnsi="Calibri"/>
          <w:color w:val="000000"/>
          <w:sz w:val="22"/>
        </w:rPr>
        <w:t>4.6 Jakość ruchu — rozkład kanałów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Kanał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Cross-network (PMax)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341 645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34,1%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Paid Social (Facebook)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238 537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23,8%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Organic Search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188 470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18,8%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Email (Edrone)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62 703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6,3%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Direct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51 314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5,1%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Display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46 399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4,6%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Paid Search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26 832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2,7%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Unassigned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20 897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2,1%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Rozkład wygląda naturalnie dla e-commerce odzieżowego.</w:t>
      </w:r>
    </w:p>
    <w:p>
      <w:pPr>
        <w:pStyle w:val="Heading4"/>
      </w:pPr>
      <w:r>
        <w:rPr>
          <w:rFonts w:ascii="Calibri" w:hAnsi="Calibri"/>
          <w:color w:val="000000"/>
          <w:sz w:val="22"/>
        </w:rPr>
        <w:t>4.8–4.9 Bramki płatności i pocztowe w referral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poczta.onet.pl w referral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637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poczta.wp.pl w referral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411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poczta.o2.pl w referral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poczta.interia.pl w referral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174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klarna / referral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174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Emaile bez UTM wpadają jako referral z domen poczty. 8 transakcji z Klarna jest błędnie przypisanych.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4B — Jakość sesji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Wartość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Engagement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57,4%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OK (norma: 40–70%)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Avg session duration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20,4 min (1 224s)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Podejrzanie wysoka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Bounce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42,6%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OK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Sesje łącznie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999 044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Uwaga:</w:t>
      </w:r>
      <w:r>
        <w:rPr>
          <w:rFonts w:ascii="Calibri" w:hAnsi="Calibri"/>
          <w:color w:val="BF8F00"/>
          <w:sz w:val="21"/>
        </w:rPr>
        <w:t xml:space="preserve"> Czas sesji 20,4 minuty jest wyjątkowo wysoki dla e-commerce. Standardowo wynosi 3–6 minut. Prawdopodobna przyczyna: podwójne wdrożenie GA4 zaburza czas sesji. Wymaga weryfikacji po naprawie duplikacji.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4C–4D — Analiza (not set) i transakcji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Wymiar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 (not set)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Ocena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source/medium (sesje)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2,1%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Transakcje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4,9%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Borderline (próg: 5%)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Direct/(none) w transakcjach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5,7%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Suma not set + direct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10,6%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sz w:val="21"/>
        </w:rPr>
        <w:t>104 transakcje (4,9%) bez atrybucji — zbliżone do granicy. Warto monitorować.</w:t>
      </w:r>
    </w:p>
    <w:p/>
    <w:p>
      <w:pPr>
        <w:spacing w:after="80"/>
      </w:pPr>
      <w:r>
        <w:rPr>
          <w:rFonts w:ascii="Calibri" w:hAnsi="Calibri"/>
          <w:b/>
          <w:sz w:val="21"/>
        </w:rPr>
        <w:t>Transakcje TOP source/medium (90 dni):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Kanał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Udział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  <w:tc>
          <w:tcPr>
            <w:tcW w:type="dxa" w:w="188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AOV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google / cpc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739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34,9%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933 860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1 264 zł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google / organic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622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29,3%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818 069 zł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1 315 zł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edrone / email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241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11,4%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290 902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1 207 zł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facebook / cpc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142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6,7%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160 035 zł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1 127 zł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(direct) / (none)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5,7%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165 328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1 378 zł</w:t>
            </w:r>
          </w:p>
        </w:tc>
      </w:tr>
      <w:tr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**(not set)**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**104**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**4,9%**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77 920 zł</w:t>
            </w:r>
          </w:p>
        </w:tc>
        <w:tc>
          <w:tcPr>
            <w:tcW w:type="dxa" w:w="188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749 zł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bing / organic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69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3,3%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85 184 zł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9"/>
              </w:rPr>
              <w:t>1 235 zł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Uwaga:</w:t>
      </w:r>
      <w:r>
        <w:rPr>
          <w:rFonts w:ascii="Calibri" w:hAnsi="Calibri"/>
          <w:sz w:val="21"/>
        </w:rPr>
        <w:t xml:space="preserve"> AOV dla (not set) wynosi 749 zł — znacznie niższe niż średnia (~1 250 zł). Może wskazywać na błędy w przypisaniu transakcji lub specyficzny segment.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4E — Lejek e-commerce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Anomalia krytyczna — lejek zepsuty przez podwójne wdrożenie</w:t>
      </w:r>
    </w:p>
    <w:p/>
    <w:p>
      <w:pPr>
        <w:spacing w:after="80"/>
      </w:pPr>
      <w:r>
        <w:rPr>
          <w:rFonts w:ascii="Calibri" w:hAnsi="Calibri"/>
          <w:b/>
          <w:sz w:val="21"/>
        </w:rPr>
        <w:t>Lejek (90 dni, eventy raw):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Zdarzenie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Liczba (raw)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Przejście do następnego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Interpretacja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view_item_list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3 260 726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wiarygodne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view_item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2 456 435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75.3%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wiarygodne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add_to_cart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156 999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6.4%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w normie dla fashion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add_shipping_info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9 763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patrz poniżej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begin_checkout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5 874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3.7%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bardzo niskie, ale tylko z GTM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**purchase (raw)**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**7 616**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**129.7%**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color w:val="C00000"/>
                <w:sz w:val="19"/>
              </w:rPr>
              <w:t>❌ NIEMOŻLIWE MATEMATYCZNIE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Dwa poziomy analizy — raw vs deduplikowane: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Metryka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Raw (eventCount)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Deduplikowane (transactions)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Wniosek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purchase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7 616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2 159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Raw zawyżone 3.53x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begin_checkout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5 874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brak dedup. GA4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Zaniżone — tylko z GTM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add_shipping_info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9 763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BF8F00"/>
                <w:sz w:val="19"/>
              </w:rPr>
              <w:t>⚠️ &gt; begin_checkout: kolejna anomalia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Krytyczna anomalia #1: purchase &gt; begin_checkout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(7 616) &gt;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(5 874) = ratio 129.7%</w:t>
      </w:r>
    </w:p>
    <w:p>
      <w:pPr>
        <w:spacing w:after="80"/>
      </w:pPr>
      <w:r>
        <w:rPr>
          <w:rFonts w:ascii="Calibri" w:hAnsi="Calibri"/>
          <w:sz w:val="21"/>
        </w:rPr>
        <w:t xml:space="preserve">Każdy zakup MUSI być poprzedzony checkoutem — logicznie i technicznie niemożliwe bez duplikacji.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jest wyzwalany przez hardcoded gtag i GTM, natomiast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tylko przez GTM → dlatego purchase jest zawyżone 3.5x, a begin_checkout jest "tylko" raz.</w:t>
      </w:r>
    </w:p>
    <w:p/>
    <w:p>
      <w:pPr>
        <w:spacing w:after="80"/>
      </w:pPr>
      <w:r>
        <w:rPr>
          <w:rFonts w:ascii="Calibri" w:hAnsi="Calibri"/>
          <w:b/>
          <w:sz w:val="21"/>
        </w:rPr>
        <w:t>Krytyczna anomalia #2: add_shipping_info &gt; begin_checkout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add_shipping_info</w:t>
      </w:r>
      <w:r>
        <w:rPr>
          <w:rFonts w:ascii="Calibri" w:hAnsi="Calibri"/>
          <w:sz w:val="21"/>
        </w:rPr>
        <w:t xml:space="preserve"> (9 763) &gt;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(5 874)</w:t>
      </w:r>
    </w:p>
    <w:p>
      <w:pPr>
        <w:spacing w:after="80"/>
      </w:pPr>
      <w:r>
        <w:rPr>
          <w:rFonts w:ascii="Calibri" w:hAnsi="Calibri"/>
          <w:sz w:val="21"/>
        </w:rPr>
        <w:t>W poprawnym lejku: begin</w:t>
      </w:r>
      <w:r>
        <w:rPr>
          <w:rFonts w:ascii="Calibri" w:hAnsi="Calibri"/>
          <w:i/>
          <w:sz w:val="21"/>
        </w:rPr>
        <w:t>checkout ZAWSZE poprzedza add</w:t>
      </w:r>
      <w:r>
        <w:rPr>
          <w:rFonts w:ascii="Calibri" w:hAnsi="Calibri"/>
          <w:sz w:val="21"/>
        </w:rPr>
        <w:t>shipping</w:t>
      </w:r>
      <w:r>
        <w:rPr>
          <w:rFonts w:ascii="Calibri" w:hAnsi="Calibri"/>
          <w:i/>
          <w:sz w:val="21"/>
        </w:rPr>
        <w:t>info. Odwrócona proporcja wskazuje na błąd implementacji — `add</w:t>
      </w:r>
      <w:r>
        <w:rPr>
          <w:rFonts w:ascii="Calibri" w:hAnsi="Calibri"/>
          <w:sz w:val="21"/>
        </w:rPr>
        <w:t>shipping_info` jest wyzwalane poza normalną sekwencją lejka lub wielokrotnie w tej samej sesji.</w:t>
      </w:r>
    </w:p>
    <w:p/>
    <w:p>
      <w:pPr>
        <w:spacing w:after="80"/>
      </w:pPr>
      <w:r>
        <w:rPr>
          <w:rFonts w:ascii="Calibri" w:hAnsi="Calibri"/>
          <w:b/>
          <w:sz w:val="21"/>
        </w:rPr>
        <w:t>Krytyczna anomalia #3: 452 zakupy bez transaction_id</w:t>
      </w:r>
    </w:p>
    <w:p>
      <w:pPr>
        <w:spacing w:after="80"/>
      </w:pPr>
      <w:r>
        <w:rPr>
          <w:rFonts w:ascii="Calibri" w:hAnsi="Calibri"/>
          <w:sz w:val="21"/>
        </w:rPr>
        <w:t xml:space="preserve">GA4 rejestruje 452 eventy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z </w:t>
      </w:r>
      <w:r>
        <w:rPr>
          <w:rFonts w:ascii="Courier New" w:hAnsi="Courier New"/>
          <w:color w:val="C7254E"/>
          <w:sz w:val="19"/>
        </w:rPr>
        <w:t>transaction_id = (not set)</w:t>
      </w:r>
      <w:r>
        <w:rPr>
          <w:rFonts w:ascii="Calibri" w:hAnsi="Calibri"/>
          <w:sz w:val="21"/>
        </w:rPr>
        <w:t xml:space="preserve">. To hardcoded </w:t>
      </w:r>
      <w:r>
        <w:rPr>
          <w:rFonts w:ascii="Courier New" w:hAnsi="Courier New"/>
          <w:color w:val="C7254E"/>
          <w:sz w:val="19"/>
        </w:rPr>
        <w:t>gtag('event', 'purchase')</w:t>
      </w:r>
      <w:r>
        <w:rPr>
          <w:rFonts w:ascii="Calibri" w:hAnsi="Calibri"/>
          <w:sz w:val="21"/>
        </w:rPr>
        <w:t xml:space="preserve"> bez dostępu do obiektu ecommerce z DataLayer. Przychód dla tych transakcji = 0 PLN (brak wartości) — zatem </w:t>
      </w:r>
      <w:r>
        <w:rPr>
          <w:rFonts w:ascii="Calibri" w:hAnsi="Calibri"/>
          <w:b/>
          <w:sz w:val="21"/>
        </w:rPr>
        <w:t>2.628 mln PLN przychodów w GA4 jest de facto wiarygodne</w:t>
      </w:r>
      <w:r>
        <w:rPr>
          <w:rFonts w:ascii="Calibri" w:hAnsi="Calibri"/>
          <w:sz w:val="21"/>
        </w:rPr>
        <w:t>, bo pochodzi z eventów z prawidłowym transaction_id.</w:t>
      </w:r>
    </w:p>
    <w:p/>
    <w:p>
      <w:pPr>
        <w:spacing w:after="80"/>
      </w:pPr>
      <w:r>
        <w:rPr>
          <w:rFonts w:ascii="Calibri" w:hAnsi="Calibri"/>
          <w:b/>
          <w:sz w:val="21"/>
        </w:rPr>
        <w:t>Rozkład duplikacji transaction_id (90d):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Liczba eventów purchase per ID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Liczba transaction ID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Przychód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Interpretacja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0 (tylko returns)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-23 252 PLN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Zwroty/refundy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(normalny)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7 160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2 698 143 PLN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color w:val="107C10"/>
                <w:sz w:val="19"/>
              </w:rPr>
              <w:t>✅ Poprawne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 (podejrzane)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0 PLN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Np. `210035&amp;key=abc`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452 (not set)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0 PLN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Hardcoded gtag bez ecommerce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Lejek po naprawie — szacunek:</w:t>
      </w:r>
    </w:p>
    <w:p>
      <w:pPr>
        <w:spacing w:after="80"/>
      </w:pPr>
      <w:r>
        <w:rPr>
          <w:rFonts w:ascii="Calibri" w:hAnsi="Calibri"/>
          <w:sz w:val="21"/>
        </w:rPr>
        <w:t>Usunięcie hardcoded gtag powinno przywrócić poprawny lejek: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spadnie z 7 616 → ~2 159 (transactions metric = rzeczywiste zamówienia)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 xml:space="preserve"> → </w:t>
      </w:r>
      <w:r>
        <w:rPr>
          <w:rFonts w:ascii="Courier New" w:hAnsi="Courier New"/>
          <w:color w:val="C7254E"/>
          <w:sz w:val="19"/>
        </w:rPr>
        <w:t>purchase</w:t>
      </w:r>
      <w:r>
        <w:rPr>
          <w:rFonts w:ascii="Calibri" w:hAnsi="Calibri"/>
          <w:sz w:val="21"/>
        </w:rPr>
        <w:t xml:space="preserve"> powinno wynieść 60-80% (benchmark e-commerce PL)</w:t>
      </w:r>
    </w:p>
    <w:p>
      <w:pPr>
        <w:pStyle w:val="ListBullet"/>
        <w:spacing w:after="40"/>
        <w:ind w:left="0"/>
      </w:pPr>
      <w:r>
        <w:rPr>
          <w:rFonts w:ascii="Courier New" w:hAnsi="Courier New"/>
          <w:color w:val="C7254E"/>
          <w:sz w:val="19"/>
        </w:rPr>
        <w:t>add_to_cart → begin_checkout</w:t>
      </w:r>
      <w:r>
        <w:rPr>
          <w:rFonts w:ascii="Calibri" w:hAnsi="Calibri"/>
          <w:sz w:val="21"/>
        </w:rPr>
        <w:t xml:space="preserve">: 5 874 / 156 999 = 3.7% — </w:t>
      </w:r>
      <w:r>
        <w:rPr>
          <w:rFonts w:ascii="Calibri" w:hAnsi="Calibri"/>
          <w:b/>
          <w:sz w:val="21"/>
        </w:rPr>
        <w:t>wyjątkowo niskie nawet po naprawie</w:t>
      </w:r>
      <w:r>
        <w:rPr>
          <w:rFonts w:ascii="Calibri" w:hAnsi="Calibri"/>
          <w:sz w:val="21"/>
        </w:rPr>
        <w:t xml:space="preserve"> (benchmark: 30–60%) → sugeruje problem UX na etapie przejścia koszyk → checkout lub niekompletną implementację </w:t>
      </w:r>
      <w:r>
        <w:rPr>
          <w:rFonts w:ascii="Courier New" w:hAnsi="Courier New"/>
          <w:color w:val="C7254E"/>
          <w:sz w:val="19"/>
        </w:rPr>
        <w:t>begin_checkout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  <w:r>
        <w:rPr>
          <w:rFonts w:ascii="Calibri" w:hAnsi="Calibri"/>
          <w:sz w:val="21"/>
        </w:rPr>
        <w:t xml:space="preserve"> Naprawa podwójnego wdrożenia GA4 jest priorytetem #1. Po naprawie wymagana ponowna analiza lejka — szczególnie etapu add</w:t>
      </w:r>
      <w:r>
        <w:rPr>
          <w:rFonts w:ascii="Calibri" w:hAnsi="Calibri"/>
          <w:i/>
          <w:sz w:val="21"/>
        </w:rPr>
        <w:t>to</w:t>
      </w:r>
      <w:r>
        <w:rPr>
          <w:rFonts w:ascii="Calibri" w:hAnsi="Calibri"/>
          <w:sz w:val="21"/>
        </w:rPr>
        <w:t>cart → begin_checkout (3.7% jest podejrzanie niskie).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SEKCJA 5 — UTM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5.1 Standaryzacja UTM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C00000"/>
          <w:sz w:val="21"/>
        </w:rPr>
        <w:t xml:space="preserve"> ❌ Błąd — fragmentacja źródeł dla Meta/Instagram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GA4 traktuje każdy unikalny </w:t>
      </w:r>
      <w:r>
        <w:rPr>
          <w:rFonts w:ascii="Courier New" w:hAnsi="Courier New"/>
          <w:color w:val="C7254E"/>
          <w:sz w:val="19"/>
        </w:rPr>
        <w:t>utm_source</w:t>
      </w:r>
      <w:r>
        <w:rPr>
          <w:rFonts w:ascii="Calibri" w:hAnsi="Calibri"/>
          <w:sz w:val="21"/>
        </w:rPr>
        <w:t xml:space="preserve"> jako odrębne źródło ruchu. Brak spójnej konwencji UTM w kampaniach Meta powoduje, że ruch z jednej platformy jest rozproszony na wiele wierszy — przez co wygląda na mniejszy niż jest w rzeczywistości.</w:t>
      </w:r>
    </w:p>
    <w:p/>
    <w:p>
      <w:pPr>
        <w:spacing w:after="80"/>
      </w:pPr>
      <w:r>
        <w:rPr>
          <w:rFonts w:ascii="Calibri" w:hAnsi="Calibri"/>
          <w:b/>
          <w:sz w:val="21"/>
        </w:rPr>
        <w:t>Facebook/Meta — 5 wariantów źródła (90d):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utm_source w GA4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Transakcje</w:t>
            </w:r>
          </w:p>
        </w:tc>
        <w:tc>
          <w:tcPr>
            <w:tcW w:type="dxa" w:w="2351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Uwaga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facebook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184 372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109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Płatne kampanie z UTM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facebook.com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38 291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23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Ruch organiczny / kliknięcia z FB bez UTM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m.facebook.com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19 440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Mobilna wersja Facebook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l.facebook.com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8 218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Facebook link shim (przekierowanie)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lm.facebook.com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1 216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Facebook messenger link</w:t>
            </w:r>
          </w:p>
        </w:tc>
      </w:tr>
      <w:tr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**Łącznie Meta (szacunek)**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**~251 537**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**~142**</w:t>
            </w:r>
          </w:p>
        </w:tc>
        <w:tc>
          <w:tcPr>
            <w:tcW w:type="dxa" w:w="2351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Rozlane na 5 osobnych źródeł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Instagram — 4 warianty źródła (90d):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utm_source w GA4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Sesje</w:t>
            </w:r>
          </w:p>
        </w:tc>
        <w:tc>
          <w:tcPr>
            <w:tcW w:type="dxa" w:w="3135"/>
            <w:shd w:val="clear" w:color="auto" w:fill="2E74B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Uwaga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l.instagram.com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3 842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Link shim Instagram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instagram.com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1 204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Organiczny ruch z profilu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instagram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987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Płatne kampanie z utm_source=instagram</w:t>
            </w:r>
          </w:p>
        </w:tc>
      </w:tr>
      <w:tr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ig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211</w:t>
            </w:r>
          </w:p>
        </w:tc>
        <w:tc>
          <w:tcPr>
            <w:tcW w:type="dxa" w:w="3135"/>
            <w:shd w:val="clear" w:color="auto" w:fill="EAF1FB"/>
          </w:tcPr>
          <w:p>
            <w:r/>
            <w:r>
              <w:rPr>
                <w:rFonts w:ascii="Calibri" w:hAnsi="Calibri"/>
                <w:sz w:val="19"/>
              </w:rPr>
              <w:t>Skrócone linki Instagram Stories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**Łącznie Instagram**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**~6 244**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Rozlane na 4 osobne źródła</w:t>
            </w:r>
          </w:p>
        </w:tc>
      </w:tr>
    </w:tbl>
    <w:p/>
    <w:p/>
    <w:p>
      <w:pPr>
        <w:spacing w:after="80"/>
      </w:pPr>
      <w:r>
        <w:rPr>
          <w:rFonts w:ascii="Calibri" w:hAnsi="Calibri"/>
          <w:b/>
          <w:sz w:val="21"/>
        </w:rPr>
        <w:t>Skutek praktyczny: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Raport "Paid Social" w GA4 pokazuje 238 537 sesji (tylko te z prawidłowymi UTM z Menedżera Reklam)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Rzeczywisty ruch z ekosystemu Meta jest ~10-15% wyższy, bo organiczne kliknięcia z </w:t>
      </w:r>
      <w:r>
        <w:rPr>
          <w:rFonts w:ascii="Courier New" w:hAnsi="Courier New"/>
          <w:color w:val="C7254E"/>
          <w:sz w:val="19"/>
        </w:rPr>
        <w:t>facebook.com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m.facebook.com</w:t>
      </w:r>
      <w:r>
        <w:rPr>
          <w:rFonts w:ascii="Calibri" w:hAnsi="Calibri"/>
          <w:sz w:val="21"/>
        </w:rPr>
        <w:t xml:space="preserve"> itp. są wykazywane osobno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W raportach CEO/CMO kampanie Meta wyglądają gorzej niż są — realny przychód z Meta jest niedoszacowany</w:t>
      </w:r>
    </w:p>
    <w:p/>
    <w:p>
      <w:pPr>
        <w:spacing w:after="80"/>
      </w:pPr>
      <w:r>
        <w:rPr>
          <w:rFonts w:ascii="Calibri" w:hAnsi="Calibri"/>
          <w:b/>
          <w:sz w:val="21"/>
        </w:rPr>
        <w:t>Rekomendacja: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W Menedżerze Reklam Meta ustawić dla WSZYSTKICH kampanii: </w:t>
      </w:r>
      <w:r>
        <w:rPr>
          <w:rFonts w:ascii="Courier New" w:hAnsi="Courier New"/>
          <w:color w:val="C7254E"/>
          <w:sz w:val="19"/>
        </w:rPr>
        <w:t>utm_source=facebook&amp;utm_medium=cpc</w:t>
      </w:r>
      <w:r>
        <w:rPr>
          <w:rFonts w:ascii="Calibri" w:hAnsi="Calibri"/>
          <w:sz w:val="21"/>
        </w:rPr>
        <w:t xml:space="preserve"> (płatne) lub </w:t>
      </w:r>
      <w:r>
        <w:rPr>
          <w:rFonts w:ascii="Courier New" w:hAnsi="Courier New"/>
          <w:color w:val="C7254E"/>
          <w:sz w:val="19"/>
        </w:rPr>
        <w:t>utm_source=facebook&amp;utm_medium=paid_social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W GA4 Admin → Ustawienia usługi → Reguły grupowania kanałów: dodać regułę, która mapuje </w:t>
      </w:r>
      <w:r>
        <w:rPr>
          <w:rFonts w:ascii="Courier New" w:hAnsi="Courier New"/>
          <w:color w:val="C7254E"/>
          <w:sz w:val="19"/>
        </w:rPr>
        <w:t>facebook.com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m.facebook.com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l.facebook.com</w:t>
      </w:r>
      <w:r>
        <w:rPr>
          <w:rFonts w:ascii="Calibri" w:hAnsi="Calibri"/>
          <w:sz w:val="21"/>
        </w:rPr>
        <w:t xml:space="preserve"> do kanału "Paid Social"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 xml:space="preserve">Rozważyć wdrożenie GA4 Referral Exclusion dla </w:t>
      </w:r>
      <w:r>
        <w:rPr>
          <w:rFonts w:ascii="Courier New" w:hAnsi="Courier New"/>
          <w:color w:val="C7254E"/>
          <w:sz w:val="19"/>
        </w:rPr>
        <w:t>l.facebook.com</w:t>
      </w:r>
      <w:r>
        <w:rPr>
          <w:rFonts w:ascii="Calibri" w:hAnsi="Calibri"/>
          <w:sz w:val="21"/>
        </w:rPr>
        <w:t xml:space="preserve"> i </w:t>
      </w:r>
      <w:r>
        <w:rPr>
          <w:rFonts w:ascii="Courier New" w:hAnsi="Courier New"/>
          <w:color w:val="C7254E"/>
          <w:sz w:val="19"/>
        </w:rPr>
        <w:t>lm.facebook.com</w:t>
      </w:r>
      <w:r>
        <w:rPr>
          <w:rFonts w:ascii="Calibri" w:hAnsi="Calibri"/>
          <w:sz w:val="21"/>
        </w:rPr>
        <w:t xml:space="preserve"> (link shim powinien być traktowany jako self-referral Meta, nie osobne źródło)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5.2–5.3 Google Ads — UTM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</w:t>
      </w:r>
    </w:p>
    <w:p/>
    <w:p>
      <w:pPr>
        <w:spacing w:after="80"/>
      </w:pPr>
      <w:r>
        <w:rPr>
          <w:rFonts w:ascii="Calibri" w:hAnsi="Calibri"/>
          <w:sz w:val="21"/>
        </w:rPr>
        <w:t xml:space="preserve">Google Ads prawidłowo taguje ruch jako </w:t>
      </w:r>
      <w:r>
        <w:rPr>
          <w:rFonts w:ascii="Courier New" w:hAnsi="Courier New"/>
          <w:color w:val="C7254E"/>
          <w:sz w:val="19"/>
        </w:rPr>
        <w:t>google / cpc</w:t>
      </w:r>
      <w:r>
        <w:rPr>
          <w:rFonts w:ascii="Calibri" w:hAnsi="Calibri"/>
          <w:sz w:val="21"/>
        </w:rPr>
        <w:t>. Obecność kanału Cross-network (341 645 sesji) wskazuje na aktywne kampanie Performance Max — warto zweryfikować czy UTM z kampanii PMax są poprawnie przekazywane.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5.4 Facebook Ads — UTM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Wymaga poprawy (fragmentacja)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5.6–5.7 Organiczne social i email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BF8F00"/>
          <w:sz w:val="21"/>
        </w:rPr>
        <w:t xml:space="preserve"> ⚠️ Częściowe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Komentarz:</w:t>
      </w:r>
      <w:r>
        <w:rPr>
          <w:rFonts w:ascii="Calibri" w:hAnsi="Calibri"/>
          <w:sz w:val="21"/>
        </w:rPr>
        <w:t xml:space="preserve"> Edrone email jest poprawnie tagowany jako </w:t>
      </w:r>
      <w:r>
        <w:rPr>
          <w:rFonts w:ascii="Courier New" w:hAnsi="Courier New"/>
          <w:color w:val="C7254E"/>
          <w:sz w:val="19"/>
        </w:rPr>
        <w:t>edrone / email</w:t>
      </w:r>
      <w:r>
        <w:rPr>
          <w:rFonts w:ascii="Calibri" w:hAnsi="Calibri"/>
          <w:sz w:val="21"/>
        </w:rPr>
        <w:t>. Jednak bramki pocztowe (onet, wp, o2) w referral wskazują że część emaili (być może newsletter inny niż Edrone lub emaile transakcyjne) nie ma UTM.</w:t>
      </w:r>
    </w:p>
    <w:p/>
    <w:p>
      <w:pPr>
        <w:spacing w:after="80"/>
      </w:pPr>
      <w:r>
        <w:rPr>
          <w:rFonts w:ascii="Calibri" w:hAnsi="Calibri"/>
          <w:b/>
          <w:sz w:val="21"/>
        </w:rPr>
        <w:t>Komentarz dot. SMS:</w:t>
      </w:r>
      <w:r>
        <w:rPr>
          <w:rFonts w:ascii="Calibri" w:hAnsi="Calibri"/>
          <w:sz w:val="21"/>
        </w:rPr>
        <w:t xml:space="preserve"> Ruch SMS jest prawidłowo tagowany jako </w:t>
      </w:r>
      <w:r>
        <w:rPr>
          <w:rFonts w:ascii="Courier New" w:hAnsi="Courier New"/>
          <w:color w:val="C7254E"/>
          <w:sz w:val="19"/>
        </w:rPr>
        <w:t>sms / smsapi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5.8 Wizytówka Google</w:t>
      </w:r>
    </w:p>
    <w:p/>
    <w:p>
      <w:pPr>
        <w:spacing w:after="80"/>
      </w:pPr>
      <w:r>
        <w:rPr>
          <w:rFonts w:ascii="Calibri" w:hAnsi="Calibri"/>
          <w:b/>
          <w:sz w:val="21"/>
        </w:rPr>
        <w:t>Wynik:</w:t>
      </w:r>
      <w:r>
        <w:rPr>
          <w:rFonts w:ascii="Calibri" w:hAnsi="Calibri"/>
          <w:color w:val="107C10"/>
          <w:sz w:val="21"/>
        </w:rPr>
        <w:t xml:space="preserve"> ✅ OK — wykryto </w:t>
      </w:r>
      <w:r>
        <w:rPr>
          <w:rFonts w:ascii="Courier New" w:hAnsi="Courier New"/>
          <w:color w:val="C7254E"/>
          <w:sz w:val="19"/>
        </w:rPr>
        <w:t>google / maps</w:t>
      </w:r>
      <w:r>
        <w:rPr>
          <w:rFonts w:ascii="Calibri" w:hAnsi="Calibri"/>
          <w:sz w:val="21"/>
        </w:rPr>
        <w:t xml:space="preserve"> (6 transakcji)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CZĘŚĆ III — REKOMENDACJE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🔴 PILNE — wdrożenie natychmiast</w:t>
      </w:r>
    </w:p>
    <w:p/>
    <w:p>
      <w:pPr>
        <w:spacing w:after="80"/>
      </w:pPr>
      <w:r>
        <w:rPr>
          <w:rFonts w:ascii="Calibri" w:hAnsi="Calibri"/>
          <w:b/>
          <w:sz w:val="21"/>
        </w:rPr>
        <w:t>1. Usunąć hardcoded GA4 i Google Ads z HTML strony</w:t>
      </w:r>
    </w:p>
    <w:p>
      <w:pPr>
        <w:spacing w:after="80"/>
      </w:pPr>
      <w:r>
        <w:rPr>
          <w:rFonts w:ascii="Calibri" w:hAnsi="Calibri"/>
          <w:sz w:val="21"/>
        </w:rPr>
        <w:t>Usunąć z kodu HTML bloki:</w:t>
      </w:r>
    </w:p>
    <w:p>
      <w:pPr>
        <w:spacing w:after="80"/>
      </w:pPr>
      <w:r>
        <w:rPr>
          <w:rFonts w:ascii="Calibri" w:hAnsi="Calibri"/>
          <w:sz w:val="21"/>
        </w:rPr>
        <w:t>```javascript</w:t>
      </w:r>
    </w:p>
    <w:p>
      <w:pPr>
        <w:spacing w:after="80"/>
      </w:pPr>
      <w:r>
        <w:rPr>
          <w:rFonts w:ascii="Calibri" w:hAnsi="Calibri"/>
          <w:sz w:val="21"/>
        </w:rPr>
        <w:t>gtag('js', new Date());</w:t>
      </w:r>
    </w:p>
    <w:p>
      <w:pPr>
        <w:spacing w:after="80"/>
      </w:pPr>
      <w:r>
        <w:rPr>
          <w:rFonts w:ascii="Calibri" w:hAnsi="Calibri"/>
          <w:sz w:val="21"/>
        </w:rPr>
        <w:t>gtag('config', 'G-93NK3C48R3', {...});</w:t>
      </w:r>
    </w:p>
    <w:p>
      <w:pPr>
        <w:spacing w:after="80"/>
      </w:pPr>
      <w:r>
        <w:rPr>
          <w:rFonts w:ascii="Calibri" w:hAnsi="Calibri"/>
          <w:sz w:val="21"/>
        </w:rPr>
        <w:t>gtag('config', 'AW-769585117');</w:t>
      </w:r>
    </w:p>
    <w:p>
      <w:pPr>
        <w:spacing w:after="80"/>
      </w:pPr>
      <w:r>
        <w:rPr>
          <w:rFonts w:ascii="Courier New" w:hAnsi="Courier New"/>
          <w:color w:val="C7254E"/>
          <w:sz w:val="19"/>
        </w:rPr>
        <w:t>`</w:t>
      </w:r>
    </w:p>
    <w:p>
      <w:pPr>
        <w:spacing w:after="80"/>
      </w:pPr>
      <w:r>
        <w:rPr>
          <w:rFonts w:ascii="Calibri" w:hAnsi="Calibri"/>
          <w:sz w:val="21"/>
        </w:rPr>
        <w:t>GA4 i Google Ads powinny być zarządzane WYŁĄCZNIE przez GTM. To naprawi anomalię w lejku (purchase &gt; begin_checkout) i przywróci wiarygodność danych transakcyjnych.</w:t>
      </w:r>
    </w:p>
    <w:p/>
    <w:p>
      <w:pPr>
        <w:spacing w:after="80"/>
      </w:pPr>
      <w:r>
        <w:rPr>
          <w:rFonts w:ascii="Calibri" w:hAnsi="Calibri"/>
          <w:b/>
          <w:sz w:val="21"/>
        </w:rPr>
        <w:t>2. Wdrożyć CMP (baner cookies)</w:t>
      </w:r>
    </w:p>
    <w:p>
      <w:pPr>
        <w:spacing w:after="80"/>
      </w:pPr>
      <w:r>
        <w:rPr>
          <w:rFonts w:ascii="Calibri" w:hAnsi="Calibri"/>
          <w:sz w:val="21"/>
        </w:rPr>
        <w:t>Strona narusza RODO — brak możliwości zarządzania zgodami przez użytkownika. Rekomendowane: Cookiebot lub Axeptio, zintegrowane z GTM przez "Consent Initialization".</w:t>
      </w:r>
    </w:p>
    <w:p/>
    <w:p>
      <w:pPr>
        <w:spacing w:after="80"/>
      </w:pPr>
      <w:r>
        <w:rPr>
          <w:rFonts w:ascii="Calibri" w:hAnsi="Calibri"/>
          <w:b/>
          <w:sz w:val="21"/>
        </w:rPr>
        <w:t>3. Naprawić kolejność skryptów — consent default przed GTM</w:t>
      </w:r>
    </w:p>
    <w:p>
      <w:pPr>
        <w:spacing w:after="80"/>
      </w:pPr>
      <w:r>
        <w:rPr>
          <w:rFonts w:ascii="Calibri" w:hAnsi="Calibri"/>
          <w:sz w:val="21"/>
        </w:rPr>
        <w:t xml:space="preserve">Blok </w:t>
      </w:r>
      <w:r>
        <w:rPr>
          <w:rFonts w:ascii="Courier New" w:hAnsi="Courier New"/>
          <w:color w:val="C7254E"/>
          <w:sz w:val="19"/>
        </w:rPr>
        <w:t>gtag('consent', 'default', {...})</w:t>
      </w:r>
      <w:r>
        <w:rPr>
          <w:rFonts w:ascii="Calibri" w:hAnsi="Calibri"/>
          <w:sz w:val="21"/>
        </w:rPr>
        <w:t xml:space="preserve"> przenieść PRZED GTM snippet w </w:t>
      </w:r>
      <w:r>
        <w:rPr>
          <w:rFonts w:ascii="Courier New" w:hAnsi="Courier New"/>
          <w:color w:val="C7254E"/>
          <w:sz w:val="19"/>
        </w:rPr>
        <w:t>&lt;head&gt;</w:t>
      </w:r>
      <w:r>
        <w:rPr>
          <w:rFonts w:ascii="Calibri" w:hAnsi="Calibri"/>
          <w:sz w:val="21"/>
        </w:rPr>
        <w:t>.</w:t>
      </w:r>
    </w:p>
    <w:p/>
    <w:p>
      <w:pPr>
        <w:spacing w:after="80"/>
      </w:pPr>
      <w:r>
        <w:rPr>
          <w:rFonts w:ascii="Calibri" w:hAnsi="Calibri"/>
          <w:b/>
          <w:sz w:val="21"/>
        </w:rPr>
        <w:t>4. Wykluczyć bramki płatności Klarna z referral</w:t>
      </w:r>
    </w:p>
    <w:p>
      <w:pPr>
        <w:spacing w:after="80"/>
      </w:pPr>
      <w:r>
        <w:rPr>
          <w:rFonts w:ascii="Calibri" w:hAnsi="Calibri"/>
          <w:sz w:val="21"/>
        </w:rPr>
        <w:t xml:space="preserve">GA4 → Strumień → Lista niechcianych witryn: dodać </w:t>
      </w:r>
      <w:r>
        <w:rPr>
          <w:rFonts w:ascii="Courier New" w:hAnsi="Courier New"/>
          <w:color w:val="C7254E"/>
          <w:sz w:val="19"/>
        </w:rPr>
        <w:t>klarna.com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checkout.klarna.com</w:t>
      </w:r>
      <w:r>
        <w:rPr>
          <w:rFonts w:ascii="Calibri" w:hAnsi="Calibri"/>
          <w:sz w:val="21"/>
        </w:rPr>
        <w:t xml:space="preserve"> i warianty. 8 transakcji błędnie przypisanych.</w:t>
      </w:r>
    </w:p>
    <w:p/>
    <w:p>
      <w:pPr>
        <w:spacing w:after="80"/>
      </w:pPr>
      <w:r>
        <w:rPr>
          <w:rFonts w:ascii="Calibri" w:hAnsi="Calibri"/>
          <w:b/>
          <w:sz w:val="21"/>
        </w:rPr>
        <w:t>5. Wykluczyć bramki pocztowe z referral</w:t>
      </w:r>
    </w:p>
    <w:p>
      <w:pPr>
        <w:spacing w:after="80"/>
      </w:pPr>
      <w:r>
        <w:rPr>
          <w:rFonts w:ascii="Calibri" w:hAnsi="Calibri"/>
          <w:sz w:val="21"/>
        </w:rPr>
        <w:t xml:space="preserve">Dodać do listy niechcianych witryn: </w:t>
      </w:r>
      <w:r>
        <w:rPr>
          <w:rFonts w:ascii="Courier New" w:hAnsi="Courier New"/>
          <w:color w:val="C7254E"/>
          <w:sz w:val="19"/>
        </w:rPr>
        <w:t>poczta.onet.pl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poczta.wp.pl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poczta.o2.pl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poczta.interia.pl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C7254E"/>
          <w:sz w:val="19"/>
        </w:rPr>
        <w:t>mail.google.com</w:t>
      </w:r>
      <w:r>
        <w:rPr>
          <w:rFonts w:ascii="Calibri" w:hAnsi="Calibri"/>
          <w:sz w:val="21"/>
        </w:rPr>
        <w:t>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🟡 DO ZAPLANOWANIA</w:t>
      </w:r>
    </w:p>
    <w:p/>
    <w:p>
      <w:pPr>
        <w:spacing w:after="80"/>
      </w:pPr>
      <w:r>
        <w:rPr>
          <w:rFonts w:ascii="Calibri" w:hAnsi="Calibri"/>
          <w:b/>
          <w:sz w:val="21"/>
        </w:rPr>
        <w:t>6. Oznaczyć `begin_checkout` jako konwersję</w:t>
      </w:r>
    </w:p>
    <w:p>
      <w:pPr>
        <w:spacing w:after="80"/>
      </w:pPr>
      <w:r>
        <w:rPr>
          <w:rFonts w:ascii="Calibri" w:hAnsi="Calibri"/>
          <w:sz w:val="21"/>
        </w:rPr>
        <w:t xml:space="preserve">GA4 → Admin → Konwersje → Dodaj: </w:t>
      </w:r>
      <w:r>
        <w:rPr>
          <w:rFonts w:ascii="Courier New" w:hAnsi="Courier New"/>
          <w:color w:val="C7254E"/>
          <w:sz w:val="19"/>
        </w:rPr>
        <w:t>begin_checkout</w:t>
      </w:r>
      <w:r>
        <w:rPr>
          <w:rFonts w:ascii="Calibri" w:hAnsi="Calibri"/>
          <w:sz w:val="21"/>
        </w:rPr>
        <w:t>. Umożliwi optymalizację kampanii pod inicjowanie zakupu.</w:t>
      </w:r>
    </w:p>
    <w:p/>
    <w:p>
      <w:pPr>
        <w:spacing w:after="80"/>
      </w:pPr>
      <w:r>
        <w:rPr>
          <w:rFonts w:ascii="Calibri" w:hAnsi="Calibri"/>
          <w:b/>
          <w:sz w:val="21"/>
        </w:rPr>
        <w:t>7. Standaryzować UTM dla Meta/Instagram</w:t>
      </w:r>
    </w:p>
    <w:p>
      <w:pPr>
        <w:spacing w:after="80"/>
      </w:pPr>
      <w:r>
        <w:rPr>
          <w:rFonts w:ascii="Calibri" w:hAnsi="Calibri"/>
          <w:sz w:val="21"/>
        </w:rPr>
        <w:t xml:space="preserve">Wdrożyć spójną konwencję: </w:t>
      </w:r>
      <w:r>
        <w:rPr>
          <w:rFonts w:ascii="Courier New" w:hAnsi="Courier New"/>
          <w:color w:val="C7254E"/>
          <w:sz w:val="19"/>
        </w:rPr>
        <w:t>utm_source=facebook</w:t>
      </w:r>
      <w:r>
        <w:rPr>
          <w:rFonts w:ascii="Calibri" w:hAnsi="Calibri"/>
          <w:sz w:val="21"/>
        </w:rPr>
        <w:t xml:space="preserve"> dla całego ekosystemu Meta (nie: facebook.com, m.facebook.com, l.facebook.com itp.). Odblokuje właściwe raportowanie skuteczności Meta Ads.</w:t>
      </w:r>
    </w:p>
    <w:p/>
    <w:p>
      <w:pPr>
        <w:spacing w:after="80"/>
      </w:pPr>
      <w:r>
        <w:rPr>
          <w:rFonts w:ascii="Calibri" w:hAnsi="Calibri"/>
          <w:b/>
          <w:sz w:val="21"/>
        </w:rPr>
        <w:t>8. Wykluczyć ruch deweloperski</w:t>
      </w:r>
    </w:p>
    <w:p>
      <w:pPr>
        <w:spacing w:after="80"/>
      </w:pPr>
      <w:r>
        <w:rPr>
          <w:rFonts w:ascii="Calibri" w:hAnsi="Calibri"/>
          <w:sz w:val="21"/>
        </w:rPr>
        <w:t xml:space="preserve">Dodać </w:t>
      </w:r>
      <w:r>
        <w:rPr>
          <w:rFonts w:ascii="Courier New" w:hAnsi="Courier New"/>
          <w:color w:val="C7254E"/>
          <w:sz w:val="19"/>
        </w:rPr>
        <w:t>dev18.arytondev.local</w:t>
      </w:r>
      <w:r>
        <w:rPr>
          <w:rFonts w:ascii="Calibri" w:hAnsi="Calibri"/>
          <w:sz w:val="21"/>
        </w:rPr>
        <w:t xml:space="preserve"> i </w:t>
      </w:r>
      <w:r>
        <w:rPr>
          <w:rFonts w:ascii="Courier New" w:hAnsi="Courier New"/>
          <w:color w:val="C7254E"/>
          <w:sz w:val="19"/>
        </w:rPr>
        <w:t>arytonpl.sharepoint.com</w:t>
      </w:r>
      <w:r>
        <w:rPr>
          <w:rFonts w:ascii="Calibri" w:hAnsi="Calibri"/>
          <w:sz w:val="21"/>
        </w:rPr>
        <w:t xml:space="preserve"> do listy niechcianych witryn lub skonfigurować filtr IP.</w:t>
      </w:r>
    </w:p>
    <w:p/>
    <w:p>
      <w:pPr>
        <w:spacing w:after="80"/>
      </w:pPr>
      <w:r>
        <w:rPr>
          <w:rFonts w:ascii="Calibri" w:hAnsi="Calibri"/>
          <w:b/>
          <w:sz w:val="21"/>
        </w:rPr>
        <w:t>9. Dodać GTM noscript do `&lt;body&gt;`</w:t>
      </w:r>
    </w:p>
    <w:p>
      <w:pPr>
        <w:spacing w:after="80"/>
      </w:pPr>
      <w:r>
        <w:rPr>
          <w:rFonts w:ascii="Calibri" w:hAnsi="Calibri"/>
          <w:sz w:val="21"/>
        </w:rPr>
        <w:t xml:space="preserve">Uzupełnić fragment: </w:t>
      </w:r>
      <w:r>
        <w:rPr>
          <w:rFonts w:ascii="Courier New" w:hAnsi="Courier New"/>
          <w:color w:val="C7254E"/>
          <w:sz w:val="19"/>
        </w:rPr>
        <w:t>&lt;noscript&gt;&lt;iframe src="https://www.googletagmanager.com/ns.html?id=GTM-MDGSP8"...&gt;&lt;/iframe&gt;&lt;/noscript&gt;</w:t>
      </w:r>
    </w:p>
    <w:p/>
    <w:p>
      <w:pPr>
        <w:spacing w:after="80"/>
      </w:pPr>
      <w:r>
        <w:rPr>
          <w:rFonts w:ascii="Calibri" w:hAnsi="Calibri"/>
          <w:b/>
          <w:sz w:val="21"/>
        </w:rPr>
        <w:t>10. Zweryfikować cross-domain tracking</w:t>
      </w:r>
    </w:p>
    <w:p>
      <w:pPr>
        <w:spacing w:after="80"/>
      </w:pPr>
      <w:r>
        <w:rPr>
          <w:rFonts w:ascii="Calibri" w:hAnsi="Calibri"/>
          <w:sz w:val="21"/>
        </w:rPr>
        <w:t>Sprawdzić konfigurację domen w strumieniu GA4, szczególnie dla przepływu do Klarna i ewentualnych innych subdomen.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🟢 USPRAWNIENIA — po naprawie błędów krytycznych</w:t>
      </w:r>
    </w:p>
    <w:p/>
    <w:p>
      <w:pPr>
        <w:spacing w:after="80"/>
      </w:pPr>
      <w:r>
        <w:rPr>
          <w:rFonts w:ascii="Calibri" w:hAnsi="Calibri"/>
          <w:b/>
          <w:sz w:val="21"/>
        </w:rPr>
        <w:t>11. Włączyć streaming export do BigQuery</w:t>
      </w:r>
    </w:p>
    <w:p>
      <w:pPr>
        <w:spacing w:after="80"/>
      </w:pPr>
      <w:r>
        <w:rPr>
          <w:rFonts w:ascii="Calibri" w:hAnsi="Calibri"/>
          <w:sz w:val="21"/>
        </w:rPr>
        <w:t>Aktualnie tylko daily export. Streaming umożliwia analizy real-time i dostęp do danych w ciągu minut zamiast doby.</w:t>
      </w:r>
    </w:p>
    <w:p/>
    <w:p>
      <w:pPr>
        <w:spacing w:after="80"/>
      </w:pPr>
      <w:r>
        <w:rPr>
          <w:rFonts w:ascii="Calibri" w:hAnsi="Calibri"/>
          <w:b/>
          <w:sz w:val="21"/>
        </w:rPr>
        <w:t>12. Wdrożyć GTM Server Side</w:t>
      </w:r>
    </w:p>
    <w:p>
      <w:pPr>
        <w:spacing w:after="80"/>
      </w:pPr>
      <w:r>
        <w:rPr>
          <w:rFonts w:ascii="Calibri" w:hAnsi="Calibri"/>
          <w:sz w:val="21"/>
        </w:rPr>
        <w:t>Dla poprawy jakości danych, wydłużenia życia cookies (first-party), odporności na ad-blockery i lepszej integracji z Meta CAPI.</w:t>
      </w:r>
    </w:p>
    <w:p/>
    <w:p>
      <w:pPr>
        <w:spacing w:after="80"/>
      </w:pPr>
      <w:r>
        <w:rPr>
          <w:rFonts w:ascii="Calibri" w:hAnsi="Calibri"/>
          <w:b/>
          <w:sz w:val="21"/>
        </w:rPr>
        <w:t>13. Skonfigurować alerty o anomaliach w GA4</w:t>
      </w:r>
    </w:p>
    <w:p>
      <w:pPr>
        <w:spacing w:after="80"/>
      </w:pPr>
      <w:r>
        <w:rPr>
          <w:rFonts w:ascii="Calibri" w:hAnsi="Calibri"/>
          <w:sz w:val="21"/>
        </w:rPr>
        <w:t>GA4 → Insights → Alerty niestandardowe dla: spadku sesji, spadku transakcji, wzrostu (not set).</w:t>
      </w:r>
    </w:p>
    <w:p/>
    <w:p>
      <w:pPr>
        <w:spacing w:after="80"/>
      </w:pPr>
      <w:r>
        <w:rPr>
          <w:rFonts w:ascii="Calibri" w:hAnsi="Calibri"/>
          <w:b/>
          <w:sz w:val="21"/>
        </w:rPr>
        <w:t>14. Wydłużyć czas trwania sesji do 5h</w:t>
      </w:r>
    </w:p>
    <w:p>
      <w:pPr>
        <w:spacing w:after="80"/>
      </w:pPr>
      <w:r>
        <w:rPr>
          <w:rFonts w:ascii="Calibri" w:hAnsi="Calibri"/>
          <w:sz w:val="21"/>
        </w:rPr>
        <w:t>Po naprawie duplikacji GA4 — ustawić czas sesji na 5h aby sesje zakupowe (szczególnie przy powrocie z bramki płatności) nie były przerywane.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PYTANIA BRIEFINGOWE DO KLIENTA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Kto i kiedy dodał hardcoded GA4 bezpośrednio w HTML? Czy to była świadoma decyzja czy błąd wdrożeniowy?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Czy Klarna jest bramką płatności zintegrowaną z PrestaShop? Jakie jeszcze bramki płatności są używane (PayU, Przelewy24)?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Czy e-maile transakcyjne (potwierdzenia zamówień) mają UTM? Kto zarządza szablonami maili?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Kampanie Google PMax — czy mają skonfigurowane UTM na poziomie finałowego URL?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Czy są inne domeny / subdomeny Aryton poza patrizia.aryton.pl (np. główny aryton.pl)?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1"/>
        </w:rPr>
        <w:t>Kto ma dostęp do GTM i kto może wdrażać zmiany techniczne?</w:t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80"/>
      </w:pPr>
      <w:r>
        <w:rPr>
          <w:rFonts w:ascii="Calibri" w:hAnsi="Calibri"/>
          <w:sz w:val="21"/>
        </w:rPr>
        <w:t>*Raport wygenerowany: 2026-04-03 | Narzędzia: GA4 Admin API + Data API | Okres analizy danych: 90 dni*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